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679886">
      <w:pPr>
        <w:jc w:val="center"/>
        <w:rPr>
          <w:rFonts w:ascii="宋体" w:hAnsi="宋体" w:eastAsia="宋体" w:cs="宋体"/>
          <w:b/>
          <w:bCs/>
          <w:color w:val="404040"/>
          <w:sz w:val="32"/>
          <w:szCs w:val="32"/>
        </w:rPr>
      </w:pPr>
      <w:r>
        <w:rPr>
          <w:rFonts w:hint="eastAsia" w:ascii="宋体" w:hAnsi="宋体" w:eastAsia="宋体" w:cs="宋体"/>
          <w:b/>
          <w:bCs/>
          <w:color w:val="404040"/>
          <w:sz w:val="32"/>
          <w:szCs w:val="32"/>
          <w:lang w:val="en-US" w:eastAsia="zh-CN"/>
        </w:rPr>
        <w:t>福建省肿瘤医院快递驿站服务项目招标公告</w:t>
      </w:r>
    </w:p>
    <w:p w14:paraId="266AEA9E">
      <w:pPr>
        <w:adjustRightInd/>
        <w:snapToGrid/>
        <w:spacing w:before="150" w:after="0" w:line="480" w:lineRule="atLeast"/>
        <w:jc w:val="both"/>
        <w:rPr>
          <w:rFonts w:ascii="方正仿宋简体" w:hAnsi="宋体" w:eastAsia="方正仿宋简体" w:cs="宋体"/>
          <w:color w:val="404040"/>
          <w:sz w:val="28"/>
          <w:szCs w:val="28"/>
        </w:rPr>
      </w:pPr>
      <w:r>
        <w:rPr>
          <w:rFonts w:hint="eastAsia" w:ascii="黑体" w:hAnsi="黑体" w:eastAsia="黑体" w:cs="宋体"/>
          <w:b/>
          <w:bCs/>
          <w:color w:val="404040"/>
          <w:sz w:val="26"/>
        </w:rPr>
        <w:t>一、招标项目概况和范围</w:t>
      </w:r>
    </w:p>
    <w:p w14:paraId="329D8F5B">
      <w:pPr>
        <w:pStyle w:val="36"/>
        <w:numPr>
          <w:ilvl w:val="0"/>
          <w:numId w:val="1"/>
        </w:numPr>
        <w:adjustRightInd/>
        <w:snapToGrid/>
        <w:spacing w:after="0" w:line="480" w:lineRule="atLeast"/>
        <w:contextualSpacing w:val="0"/>
        <w:rPr>
          <w:rFonts w:ascii="宋体" w:hAnsi="宋体" w:eastAsia="宋体" w:cs="宋体"/>
          <w:b/>
          <w:bCs/>
          <w:color w:val="404040"/>
          <w:sz w:val="32"/>
          <w:szCs w:val="32"/>
        </w:rPr>
      </w:pPr>
      <w:r>
        <w:rPr>
          <w:rFonts w:hint="eastAsia" w:ascii="宋体" w:hAnsi="宋体" w:eastAsia="宋体" w:cs="宋体"/>
          <w:color w:val="404040"/>
          <w:sz w:val="26"/>
          <w:szCs w:val="26"/>
        </w:rPr>
        <w:t>项目名称：福建省肿瘤医院对快递驿站服务项目</w:t>
      </w:r>
    </w:p>
    <w:p w14:paraId="66361B01">
      <w:pPr>
        <w:pStyle w:val="36"/>
        <w:numPr>
          <w:ilvl w:val="0"/>
          <w:numId w:val="1"/>
        </w:numPr>
        <w:adjustRightInd/>
        <w:snapToGrid/>
        <w:spacing w:after="0" w:line="480" w:lineRule="atLeast"/>
        <w:contextualSpacing w:val="0"/>
        <w:rPr>
          <w:rFonts w:ascii="宋体" w:hAnsi="宋体" w:eastAsia="宋体" w:cs="宋体"/>
          <w:b/>
          <w:bCs/>
          <w:color w:val="404040"/>
          <w:sz w:val="32"/>
          <w:szCs w:val="32"/>
        </w:rPr>
      </w:pPr>
      <w:r>
        <w:rPr>
          <w:rFonts w:hint="eastAsia" w:ascii="宋体" w:hAnsi="宋体" w:eastAsia="宋体" w:cs="宋体"/>
          <w:color w:val="404040"/>
          <w:sz w:val="26"/>
          <w:szCs w:val="26"/>
        </w:rPr>
        <w:t>项目地点：福马路420号。</w:t>
      </w:r>
    </w:p>
    <w:p w14:paraId="3D66DCCF">
      <w:pPr>
        <w:pStyle w:val="36"/>
        <w:numPr>
          <w:ilvl w:val="0"/>
          <w:numId w:val="0"/>
        </w:numPr>
        <w:adjustRightInd/>
        <w:snapToGrid/>
        <w:spacing w:after="0" w:line="480" w:lineRule="atLeast"/>
        <w:ind w:left="390" w:leftChars="0"/>
        <w:contextualSpacing w:val="0"/>
        <w:rPr>
          <w:rFonts w:ascii="宋体" w:hAnsi="宋体" w:eastAsia="宋体" w:cs="宋体"/>
          <w:b/>
          <w:bCs/>
          <w:color w:val="404040"/>
          <w:sz w:val="32"/>
          <w:szCs w:val="32"/>
        </w:rPr>
      </w:pPr>
      <w:r>
        <w:rPr>
          <w:rFonts w:hint="eastAsia" w:ascii="黑体" w:hAnsi="黑体" w:eastAsia="黑体" w:cs="宋体"/>
          <w:b/>
          <w:bCs/>
          <w:color w:val="404040"/>
          <w:sz w:val="26"/>
        </w:rPr>
        <w:t>二、投标人资格要求及审查办法</w:t>
      </w:r>
    </w:p>
    <w:p w14:paraId="13DCAC44">
      <w:pPr>
        <w:pStyle w:val="36"/>
        <w:numPr>
          <w:ilvl w:val="0"/>
          <w:numId w:val="2"/>
        </w:numPr>
        <w:adjustRightInd/>
        <w:snapToGrid/>
        <w:spacing w:after="0" w:line="480" w:lineRule="atLeast"/>
        <w:contextualSpacing w:val="0"/>
        <w:rPr>
          <w:rFonts w:ascii="宋体" w:hAnsi="宋体" w:eastAsia="宋体" w:cs="宋体"/>
          <w:color w:val="404040"/>
          <w:sz w:val="26"/>
          <w:szCs w:val="26"/>
        </w:rPr>
      </w:pPr>
      <w:r>
        <w:rPr>
          <w:rFonts w:hint="eastAsia" w:ascii="宋体" w:hAnsi="宋体" w:eastAsia="宋体" w:cs="宋体"/>
          <w:color w:val="404040"/>
          <w:sz w:val="26"/>
          <w:szCs w:val="26"/>
        </w:rPr>
        <w:t>满足《中华人民共和国政府采购法》第二十二条规定。</w:t>
      </w:r>
    </w:p>
    <w:p w14:paraId="22E16C38">
      <w:pPr>
        <w:pStyle w:val="36"/>
        <w:numPr>
          <w:ilvl w:val="0"/>
          <w:numId w:val="2"/>
        </w:numPr>
        <w:adjustRightInd/>
        <w:snapToGrid/>
        <w:spacing w:after="0" w:line="480" w:lineRule="atLeast"/>
        <w:contextualSpacing w:val="0"/>
        <w:rPr>
          <w:rFonts w:ascii="宋体" w:hAnsi="宋体" w:eastAsia="宋体" w:cs="宋体"/>
          <w:color w:val="404040"/>
          <w:sz w:val="26"/>
          <w:szCs w:val="26"/>
        </w:rPr>
      </w:pPr>
      <w:r>
        <w:rPr>
          <w:rFonts w:hint="eastAsia" w:ascii="宋体" w:hAnsi="宋体" w:eastAsia="宋体" w:cs="宋体"/>
          <w:color w:val="404040"/>
          <w:sz w:val="26"/>
          <w:szCs w:val="26"/>
        </w:rPr>
        <w:t>落实政府采购政策需满足的资格要求。</w:t>
      </w:r>
    </w:p>
    <w:p w14:paraId="130270E6">
      <w:pPr>
        <w:pStyle w:val="36"/>
        <w:numPr>
          <w:ilvl w:val="0"/>
          <w:numId w:val="2"/>
        </w:numPr>
        <w:adjustRightInd/>
        <w:snapToGrid/>
        <w:spacing w:after="0" w:line="480" w:lineRule="atLeast"/>
        <w:contextualSpacing w:val="0"/>
        <w:rPr>
          <w:rFonts w:ascii="宋体" w:hAnsi="宋体" w:eastAsia="宋体" w:cs="宋体"/>
          <w:color w:val="404040"/>
          <w:sz w:val="26"/>
          <w:szCs w:val="26"/>
        </w:rPr>
      </w:pPr>
      <w:r>
        <w:rPr>
          <w:rFonts w:hint="eastAsia" w:ascii="宋体" w:hAnsi="宋体" w:eastAsia="宋体" w:cs="宋体"/>
          <w:color w:val="404040"/>
          <w:sz w:val="26"/>
          <w:szCs w:val="26"/>
        </w:rPr>
        <w:t>委托代表人资格证明书（附法人及委托人身份证）。</w:t>
      </w:r>
    </w:p>
    <w:p w14:paraId="514FDA09">
      <w:pPr>
        <w:pStyle w:val="36"/>
        <w:numPr>
          <w:ilvl w:val="0"/>
          <w:numId w:val="2"/>
        </w:numPr>
        <w:rPr>
          <w:rFonts w:ascii="宋体" w:hAnsi="宋体" w:eastAsia="宋体" w:cs="宋体"/>
          <w:color w:val="404040"/>
          <w:sz w:val="26"/>
          <w:szCs w:val="26"/>
        </w:rPr>
      </w:pPr>
      <w:r>
        <w:rPr>
          <w:rFonts w:hint="eastAsia" w:ascii="宋体" w:hAnsi="宋体" w:eastAsia="宋体" w:cs="宋体"/>
          <w:color w:val="404040"/>
          <w:sz w:val="26"/>
          <w:szCs w:val="26"/>
        </w:rPr>
        <w:t>财务状况报告（最近一个年度经审计的财务报告或资信证明或投标担保函）；</w:t>
      </w:r>
    </w:p>
    <w:p w14:paraId="1CD2D2BF">
      <w:pPr>
        <w:pStyle w:val="36"/>
        <w:numPr>
          <w:ilvl w:val="0"/>
          <w:numId w:val="2"/>
        </w:numPr>
        <w:adjustRightInd/>
        <w:snapToGrid/>
        <w:spacing w:after="0" w:line="480" w:lineRule="atLeast"/>
        <w:contextualSpacing w:val="0"/>
        <w:rPr>
          <w:rFonts w:ascii="宋体" w:hAnsi="宋体" w:eastAsia="宋体" w:cs="宋体"/>
          <w:color w:val="404040"/>
          <w:sz w:val="26"/>
          <w:szCs w:val="26"/>
        </w:rPr>
      </w:pPr>
      <w:r>
        <w:rPr>
          <w:rFonts w:hint="eastAsia" w:ascii="宋体" w:hAnsi="宋体" w:eastAsia="宋体" w:cs="宋体"/>
          <w:color w:val="404040"/>
          <w:sz w:val="26"/>
          <w:szCs w:val="26"/>
        </w:rPr>
        <w:t>参加本次活动前三年内，在经营活动中没有重大违法违规记录的承诺。</w:t>
      </w:r>
    </w:p>
    <w:p w14:paraId="419FCA7B">
      <w:pPr>
        <w:pStyle w:val="36"/>
        <w:numPr>
          <w:ilvl w:val="0"/>
          <w:numId w:val="2"/>
        </w:numPr>
        <w:adjustRightInd/>
        <w:snapToGrid/>
        <w:spacing w:after="0" w:line="480" w:lineRule="atLeast"/>
        <w:contextualSpacing w:val="0"/>
        <w:rPr>
          <w:rFonts w:ascii="宋体" w:hAnsi="宋体" w:eastAsia="宋体" w:cs="宋体"/>
          <w:color w:val="404040"/>
          <w:sz w:val="26"/>
          <w:szCs w:val="26"/>
        </w:rPr>
      </w:pPr>
      <w:r>
        <w:rPr>
          <w:rFonts w:hint="eastAsia" w:ascii="宋体" w:hAnsi="宋体" w:eastAsia="宋体" w:cs="宋体"/>
          <w:color w:val="404040"/>
          <w:sz w:val="26"/>
          <w:szCs w:val="26"/>
        </w:rPr>
        <w:t>资格审查采用方式：资格后审。</w:t>
      </w:r>
    </w:p>
    <w:p w14:paraId="20FA8655">
      <w:pPr>
        <w:pStyle w:val="36"/>
        <w:numPr>
          <w:ilvl w:val="0"/>
          <w:numId w:val="2"/>
        </w:numPr>
        <w:adjustRightInd/>
        <w:snapToGrid/>
        <w:spacing w:after="0" w:line="480" w:lineRule="atLeast"/>
        <w:contextualSpacing w:val="0"/>
        <w:rPr>
          <w:rFonts w:ascii="宋体" w:hAnsi="宋体" w:eastAsia="宋体" w:cs="宋体"/>
          <w:color w:val="404040"/>
          <w:sz w:val="26"/>
          <w:szCs w:val="26"/>
        </w:rPr>
      </w:pPr>
      <w:r>
        <w:rPr>
          <w:rFonts w:hint="eastAsia" w:ascii="宋体" w:hAnsi="宋体" w:eastAsia="宋体" w:cs="宋体"/>
          <w:color w:val="404040"/>
          <w:sz w:val="26"/>
          <w:szCs w:val="26"/>
        </w:rPr>
        <w:t>本招标项目不接受联合体投标，不接受备选投标方案，不允许分包。</w:t>
      </w:r>
    </w:p>
    <w:p w14:paraId="09132766">
      <w:pPr>
        <w:pStyle w:val="36"/>
        <w:numPr>
          <w:ilvl w:val="0"/>
          <w:numId w:val="2"/>
        </w:numPr>
        <w:adjustRightInd/>
        <w:snapToGrid/>
        <w:spacing w:after="0" w:line="480" w:lineRule="atLeast"/>
        <w:contextualSpacing w:val="0"/>
        <w:rPr>
          <w:rFonts w:ascii="宋体" w:hAnsi="宋体" w:eastAsia="宋体" w:cs="宋体"/>
          <w:color w:val="404040"/>
          <w:sz w:val="26"/>
          <w:szCs w:val="26"/>
        </w:rPr>
      </w:pPr>
      <w:r>
        <w:rPr>
          <w:rFonts w:hint="eastAsia" w:ascii="宋体" w:hAnsi="宋体" w:eastAsia="宋体" w:cs="宋体"/>
          <w:color w:val="404040"/>
          <w:sz w:val="26"/>
          <w:szCs w:val="26"/>
        </w:rPr>
        <w:t>投标人应通过“信用中国（</w:t>
      </w:r>
      <w:r>
        <w:fldChar w:fldCharType="begin"/>
      </w:r>
      <w:r>
        <w:instrText xml:space="preserve"> HYPERLINK "http://www.creditchina.gov.cn/" </w:instrText>
      </w:r>
      <w:r>
        <w:fldChar w:fldCharType="separate"/>
      </w:r>
      <w:r>
        <w:rPr>
          <w:rFonts w:hint="eastAsia"/>
          <w:color w:val="404040"/>
        </w:rPr>
        <w:t>www.creditchina.gov.cn</w:t>
      </w:r>
      <w:r>
        <w:rPr>
          <w:rFonts w:hint="eastAsia"/>
          <w:color w:val="404040"/>
        </w:rPr>
        <w:fldChar w:fldCharType="end"/>
      </w:r>
      <w:r>
        <w:rPr>
          <w:rFonts w:hint="eastAsia" w:ascii="宋体" w:hAnsi="宋体" w:eastAsia="宋体" w:cs="宋体"/>
          <w:color w:val="404040"/>
          <w:sz w:val="26"/>
          <w:szCs w:val="26"/>
        </w:rPr>
        <w:t>)”、“中国政府采购网(</w:t>
      </w:r>
      <w:r>
        <w:fldChar w:fldCharType="begin"/>
      </w:r>
      <w:r>
        <w:instrText xml:space="preserve"> HYPERLINK "http://www.ccgp.gov.cn" </w:instrText>
      </w:r>
      <w:r>
        <w:fldChar w:fldCharType="separate"/>
      </w:r>
      <w:r>
        <w:rPr>
          <w:rFonts w:hint="eastAsia"/>
          <w:color w:val="404040"/>
        </w:rPr>
        <w:t>www.ccgp.gov.cn</w:t>
      </w:r>
      <w:r>
        <w:rPr>
          <w:rFonts w:hint="eastAsia"/>
          <w:color w:val="404040"/>
        </w:rPr>
        <w:fldChar w:fldCharType="end"/>
      </w:r>
      <w:r>
        <w:rPr>
          <w:rFonts w:hint="eastAsia" w:ascii="宋体" w:hAnsi="宋体" w:eastAsia="宋体" w:cs="宋体"/>
          <w:color w:val="404040"/>
          <w:sz w:val="26"/>
          <w:szCs w:val="26"/>
        </w:rPr>
        <w:t>)”查询并打印相应的信用记录。</w:t>
      </w:r>
    </w:p>
    <w:p w14:paraId="550D3584">
      <w:pPr>
        <w:pStyle w:val="36"/>
        <w:numPr>
          <w:ilvl w:val="0"/>
          <w:numId w:val="2"/>
        </w:numPr>
        <w:adjustRightInd/>
        <w:snapToGrid/>
        <w:spacing w:after="0" w:line="480" w:lineRule="atLeast"/>
        <w:contextualSpacing w:val="0"/>
        <w:rPr>
          <w:rFonts w:ascii="宋体" w:hAnsi="宋体" w:eastAsia="宋体" w:cs="宋体"/>
          <w:color w:val="404040"/>
          <w:sz w:val="26"/>
          <w:szCs w:val="26"/>
        </w:rPr>
      </w:pPr>
      <w:r>
        <w:rPr>
          <w:rFonts w:hint="eastAsia" w:ascii="宋体" w:hAnsi="宋体" w:eastAsia="宋体" w:cs="宋体"/>
          <w:color w:val="404040"/>
          <w:sz w:val="26"/>
          <w:szCs w:val="26"/>
        </w:rPr>
        <w:t>投标人应对投标文件资料的真实性负责，招标人在授予合同之前有权对其投标文件资料进行核实，如发现所提交的资料不真实，招标人将视其为以弄虚作假方式骗取中标，其中标无效，若给招标人造成损失的，应依法承担赔偿责任，并列入医院供应商黑名单，院方有权在今后采购活动中拒绝接受其投标材料。</w:t>
      </w:r>
    </w:p>
    <w:p w14:paraId="5D0955FF">
      <w:pPr>
        <w:pStyle w:val="36"/>
        <w:numPr>
          <w:ilvl w:val="0"/>
          <w:numId w:val="2"/>
        </w:numPr>
        <w:adjustRightInd/>
        <w:snapToGrid/>
        <w:spacing w:after="0" w:line="480" w:lineRule="atLeast"/>
        <w:contextualSpacing w:val="0"/>
        <w:rPr>
          <w:rFonts w:ascii="宋体" w:hAnsi="宋体" w:eastAsia="宋体" w:cs="宋体"/>
          <w:color w:val="404040"/>
          <w:sz w:val="26"/>
          <w:szCs w:val="26"/>
        </w:rPr>
      </w:pPr>
      <w:r>
        <w:rPr>
          <w:rFonts w:hint="eastAsia" w:ascii="宋体" w:hAnsi="宋体" w:eastAsia="宋体" w:cs="宋体"/>
          <w:color w:val="404040"/>
          <w:sz w:val="26"/>
          <w:szCs w:val="26"/>
        </w:rPr>
        <w:t>现场勘察：本次招标，采购人不统一组织勘察现场。各潜在投标人若需要查勘现场，应事先与采购人联系现场勘察事宜。</w:t>
      </w:r>
    </w:p>
    <w:p w14:paraId="4D87C648">
      <w:pPr>
        <w:pStyle w:val="36"/>
        <w:numPr>
          <w:ilvl w:val="0"/>
          <w:numId w:val="2"/>
        </w:numPr>
        <w:adjustRightInd/>
        <w:snapToGrid/>
        <w:spacing w:after="0" w:line="480" w:lineRule="atLeast"/>
        <w:contextualSpacing w:val="0"/>
        <w:rPr>
          <w:rFonts w:ascii="宋体" w:hAnsi="宋体" w:eastAsia="宋体" w:cs="宋体"/>
          <w:color w:val="404040"/>
          <w:sz w:val="26"/>
          <w:szCs w:val="26"/>
        </w:rPr>
      </w:pPr>
      <w:r>
        <w:rPr>
          <w:rFonts w:hint="eastAsia" w:ascii="宋体" w:hAnsi="宋体" w:eastAsia="宋体" w:cs="宋体"/>
          <w:color w:val="404040"/>
          <w:sz w:val="26"/>
          <w:szCs w:val="26"/>
        </w:rPr>
        <w:t>上述提供材料均须加盖公章。</w:t>
      </w:r>
    </w:p>
    <w:p w14:paraId="5F93C432">
      <w:pPr>
        <w:pStyle w:val="36"/>
        <w:numPr>
          <w:ilvl w:val="0"/>
          <w:numId w:val="0"/>
        </w:numPr>
        <w:adjustRightInd/>
        <w:snapToGrid/>
        <w:spacing w:after="0" w:line="480" w:lineRule="atLeast"/>
        <w:ind w:firstLine="520" w:firstLineChars="200"/>
        <w:contextualSpacing w:val="0"/>
        <w:rPr>
          <w:rFonts w:hint="eastAsia" w:cs="宋体" w:asciiTheme="minorEastAsia" w:hAnsiTheme="minorEastAsia" w:eastAsiaTheme="minorEastAsia"/>
          <w:color w:val="404040"/>
          <w:sz w:val="26"/>
          <w:szCs w:val="26"/>
        </w:rPr>
      </w:pPr>
      <w:r>
        <w:rPr>
          <w:rFonts w:hint="eastAsia" w:cs="宋体" w:asciiTheme="minorEastAsia" w:hAnsiTheme="minorEastAsia" w:eastAsiaTheme="minorEastAsia"/>
          <w:color w:val="404040"/>
          <w:sz w:val="26"/>
          <w:szCs w:val="26"/>
        </w:rPr>
        <w:t>备注：本项目基本资格条件采取“信用承诺制”，投标人提供资格承诺函(格式详见附件)的即可参加采购活动，在投标文件中无需再提供财务状况报告、依法缴纳税收和社会保障资金的相关证明材料。投标人可自行选择是否提供资格承诺函，若不提供资格承诺函的，应按招标文件要求提供相应的证明材料。投标人应当遵循诚实信用原则，不得作虚假承诺，投标人承诺不实的，属于提供虚假材料谋取中标、成交，应依法承担相应的法律责任。</w:t>
      </w:r>
    </w:p>
    <w:p w14:paraId="05F17D88">
      <w:pPr>
        <w:adjustRightInd/>
        <w:snapToGrid/>
        <w:spacing w:before="150" w:after="0" w:line="480" w:lineRule="atLeast"/>
        <w:jc w:val="both"/>
        <w:rPr>
          <w:rFonts w:ascii="方正仿宋简体" w:hAnsi="宋体" w:eastAsia="方正仿宋简体" w:cs="宋体"/>
          <w:color w:val="404040"/>
          <w:sz w:val="28"/>
          <w:szCs w:val="28"/>
        </w:rPr>
      </w:pPr>
      <w:r>
        <w:rPr>
          <w:rFonts w:hint="eastAsia" w:ascii="黑体" w:hAnsi="黑体" w:eastAsia="黑体" w:cs="宋体"/>
          <w:b/>
          <w:bCs/>
          <w:color w:val="404040"/>
          <w:sz w:val="26"/>
        </w:rPr>
        <w:t>三、招标文件的获取</w:t>
      </w:r>
    </w:p>
    <w:p w14:paraId="52A23232">
      <w:pPr>
        <w:pStyle w:val="36"/>
        <w:numPr>
          <w:ilvl w:val="0"/>
          <w:numId w:val="3"/>
        </w:numPr>
        <w:adjustRightInd/>
        <w:snapToGrid/>
        <w:spacing w:after="0" w:line="480" w:lineRule="atLeast"/>
        <w:ind w:left="880" w:leftChars="0" w:firstLineChars="0"/>
        <w:contextualSpacing w:val="0"/>
        <w:rPr>
          <w:rFonts w:ascii="宋体" w:hAnsi="宋体" w:eastAsia="宋体" w:cs="宋体"/>
          <w:color w:val="404040"/>
          <w:sz w:val="26"/>
          <w:szCs w:val="26"/>
        </w:rPr>
      </w:pPr>
      <w:r>
        <w:rPr>
          <w:rFonts w:hint="eastAsia" w:ascii="宋体" w:hAnsi="宋体" w:eastAsia="宋体" w:cs="宋体"/>
          <w:color w:val="404040"/>
          <w:sz w:val="26"/>
          <w:szCs w:val="26"/>
        </w:rPr>
        <w:t>本招标项目不采用电子招投标。</w:t>
      </w:r>
    </w:p>
    <w:p w14:paraId="11870993">
      <w:pPr>
        <w:pStyle w:val="36"/>
        <w:numPr>
          <w:ilvl w:val="0"/>
          <w:numId w:val="3"/>
        </w:numPr>
        <w:adjustRightInd/>
        <w:snapToGrid/>
        <w:spacing w:after="0" w:line="480" w:lineRule="atLeast"/>
        <w:ind w:left="880" w:leftChars="0" w:firstLineChars="0"/>
        <w:contextualSpacing w:val="0"/>
        <w:rPr>
          <w:rFonts w:hint="eastAsia" w:ascii="宋体" w:hAnsi="宋体" w:eastAsia="宋体" w:cs="宋体"/>
          <w:color w:val="404040"/>
          <w:sz w:val="26"/>
          <w:szCs w:val="26"/>
        </w:rPr>
      </w:pPr>
      <w:r>
        <w:rPr>
          <w:rFonts w:hint="eastAsia" w:ascii="宋体" w:hAnsi="宋体" w:eastAsia="宋体" w:cs="宋体"/>
          <w:color w:val="404040"/>
          <w:sz w:val="26"/>
          <w:szCs w:val="26"/>
        </w:rPr>
        <w:t>凡有意参加投标者，均可在福建省肿瘤医院官网（https://www.fjzl.com.cn）下载与本项目相关的招标信息（包</w:t>
      </w:r>
      <w:r>
        <w:rPr>
          <w:rFonts w:hint="eastAsia" w:ascii="宋体" w:hAnsi="宋体" w:eastAsia="宋体" w:cs="宋体"/>
          <w:color w:val="404040"/>
          <w:sz w:val="26"/>
          <w:szCs w:val="26"/>
          <w:highlight w:val="none"/>
        </w:rPr>
        <w:t>括招标文件、招标文件补充说明等），并于202</w:t>
      </w:r>
      <w:r>
        <w:rPr>
          <w:rFonts w:hint="eastAsia" w:ascii="宋体" w:hAnsi="宋体" w:cs="宋体"/>
          <w:color w:val="404040"/>
          <w:sz w:val="26"/>
          <w:szCs w:val="26"/>
          <w:highlight w:val="none"/>
          <w:lang w:val="en-US" w:eastAsia="zh-CN"/>
        </w:rPr>
        <w:t>6</w:t>
      </w:r>
      <w:r>
        <w:rPr>
          <w:rFonts w:hint="eastAsia" w:ascii="宋体" w:hAnsi="宋体" w:eastAsia="宋体" w:cs="宋体"/>
          <w:color w:val="404040"/>
          <w:sz w:val="26"/>
          <w:szCs w:val="26"/>
          <w:highlight w:val="none"/>
        </w:rPr>
        <w:t>年</w:t>
      </w:r>
      <w:r>
        <w:rPr>
          <w:rFonts w:hint="eastAsia" w:ascii="宋体" w:hAnsi="宋体" w:cs="宋体"/>
          <w:color w:val="404040"/>
          <w:sz w:val="26"/>
          <w:szCs w:val="26"/>
          <w:highlight w:val="none"/>
          <w:lang w:val="en-US" w:eastAsia="zh-CN"/>
        </w:rPr>
        <w:t>5</w:t>
      </w:r>
      <w:r>
        <w:rPr>
          <w:rFonts w:hint="eastAsia" w:ascii="宋体" w:hAnsi="宋体" w:eastAsia="宋体" w:cs="宋体"/>
          <w:color w:val="404040"/>
          <w:sz w:val="26"/>
          <w:szCs w:val="26"/>
          <w:highlight w:val="none"/>
        </w:rPr>
        <w:t>月</w:t>
      </w:r>
      <w:r>
        <w:rPr>
          <w:rFonts w:hint="eastAsia" w:ascii="宋体" w:hAnsi="宋体" w:cs="宋体"/>
          <w:color w:val="404040"/>
          <w:sz w:val="26"/>
          <w:szCs w:val="26"/>
          <w:highlight w:val="none"/>
          <w:lang w:val="en-US" w:eastAsia="zh-CN"/>
        </w:rPr>
        <w:t>20</w:t>
      </w:r>
      <w:r>
        <w:rPr>
          <w:rFonts w:hint="eastAsia" w:ascii="宋体" w:hAnsi="宋体" w:eastAsia="宋体" w:cs="宋体"/>
          <w:color w:val="404040"/>
          <w:sz w:val="26"/>
          <w:szCs w:val="26"/>
          <w:highlight w:val="none"/>
        </w:rPr>
        <w:t>日至202</w:t>
      </w:r>
      <w:r>
        <w:rPr>
          <w:rFonts w:hint="eastAsia" w:ascii="宋体" w:hAnsi="宋体" w:cs="宋体"/>
          <w:color w:val="404040"/>
          <w:sz w:val="26"/>
          <w:szCs w:val="26"/>
          <w:highlight w:val="none"/>
          <w:lang w:val="en-US" w:eastAsia="zh-CN"/>
        </w:rPr>
        <w:t>6</w:t>
      </w:r>
      <w:r>
        <w:rPr>
          <w:rFonts w:hint="eastAsia" w:ascii="宋体" w:hAnsi="宋体" w:eastAsia="宋体" w:cs="宋体"/>
          <w:color w:val="404040"/>
          <w:sz w:val="26"/>
          <w:szCs w:val="26"/>
          <w:highlight w:val="none"/>
        </w:rPr>
        <w:t>年</w:t>
      </w:r>
      <w:r>
        <w:rPr>
          <w:rFonts w:hint="eastAsia" w:ascii="宋体" w:hAnsi="宋体" w:cs="宋体"/>
          <w:color w:val="404040"/>
          <w:sz w:val="26"/>
          <w:szCs w:val="26"/>
          <w:highlight w:val="none"/>
          <w:lang w:val="en-US" w:eastAsia="zh-CN"/>
        </w:rPr>
        <w:t>5</w:t>
      </w:r>
      <w:r>
        <w:rPr>
          <w:rFonts w:hint="eastAsia" w:ascii="宋体" w:hAnsi="宋体" w:eastAsia="宋体" w:cs="宋体"/>
          <w:color w:val="404040"/>
          <w:sz w:val="26"/>
          <w:szCs w:val="26"/>
          <w:highlight w:val="none"/>
        </w:rPr>
        <w:t>月</w:t>
      </w:r>
      <w:r>
        <w:rPr>
          <w:rFonts w:hint="eastAsia" w:ascii="宋体" w:hAnsi="宋体" w:cs="宋体"/>
          <w:color w:val="404040"/>
          <w:sz w:val="26"/>
          <w:szCs w:val="26"/>
          <w:highlight w:val="none"/>
          <w:lang w:val="en-US" w:eastAsia="zh-CN"/>
        </w:rPr>
        <w:t>26</w:t>
      </w:r>
      <w:r>
        <w:rPr>
          <w:rFonts w:hint="eastAsia" w:ascii="宋体" w:hAnsi="宋体" w:eastAsia="宋体" w:cs="宋体"/>
          <w:color w:val="404040"/>
          <w:sz w:val="26"/>
          <w:szCs w:val="26"/>
          <w:highlight w:val="none"/>
        </w:rPr>
        <w:t>日(节假日除外)8：00-12：00或14：00-17：00，携带加盖公章的营业执照复印件、介绍信前往福建省肿瘤医院总务科报名。</w:t>
      </w:r>
    </w:p>
    <w:p w14:paraId="37AB439C">
      <w:pPr>
        <w:pStyle w:val="36"/>
        <w:numPr>
          <w:ilvl w:val="0"/>
          <w:numId w:val="3"/>
        </w:numPr>
        <w:adjustRightInd/>
        <w:snapToGrid/>
        <w:spacing w:after="0" w:line="480" w:lineRule="atLeast"/>
        <w:ind w:left="880" w:leftChars="0" w:firstLineChars="0"/>
        <w:contextualSpacing w:val="0"/>
        <w:rPr>
          <w:rFonts w:ascii="方正仿宋简体" w:hAnsi="宋体" w:eastAsia="方正仿宋简体" w:cs="宋体"/>
          <w:color w:val="404040"/>
          <w:sz w:val="28"/>
          <w:szCs w:val="28"/>
        </w:rPr>
      </w:pPr>
      <w:r>
        <w:rPr>
          <w:rFonts w:hint="eastAsia" w:ascii="宋体" w:hAnsi="宋体" w:eastAsia="宋体" w:cs="宋体"/>
          <w:color w:val="404040"/>
          <w:sz w:val="26"/>
          <w:szCs w:val="26"/>
        </w:rPr>
        <w:t>项目联系人：陈女士</w:t>
      </w:r>
      <w:r>
        <w:rPr>
          <w:rFonts w:hint="eastAsia" w:ascii="宋体" w:hAnsi="宋体" w:eastAsia="宋体" w:cs="宋体"/>
          <w:color w:val="404040"/>
          <w:sz w:val="26"/>
          <w:szCs w:val="26"/>
          <w:lang w:val="en-US" w:eastAsia="zh-CN"/>
        </w:rPr>
        <w:t xml:space="preserve">           </w:t>
      </w:r>
      <w:r>
        <w:rPr>
          <w:rFonts w:hint="eastAsia" w:ascii="宋体" w:hAnsi="宋体" w:eastAsia="宋体" w:cs="宋体"/>
          <w:color w:val="404040"/>
          <w:sz w:val="26"/>
          <w:szCs w:val="26"/>
        </w:rPr>
        <w:t>联系电话：0591-62752801</w:t>
      </w:r>
    </w:p>
    <w:p w14:paraId="1161B5EC">
      <w:pPr>
        <w:adjustRightInd/>
        <w:snapToGrid/>
        <w:spacing w:before="150" w:after="0" w:line="480" w:lineRule="atLeast"/>
        <w:jc w:val="both"/>
        <w:rPr>
          <w:rFonts w:ascii="方正仿宋简体" w:hAnsi="宋体" w:eastAsia="方正仿宋简体" w:cs="宋体"/>
          <w:color w:val="404040"/>
          <w:sz w:val="28"/>
          <w:szCs w:val="28"/>
        </w:rPr>
      </w:pPr>
      <w:r>
        <w:rPr>
          <w:rFonts w:hint="eastAsia" w:ascii="黑体" w:hAnsi="黑体" w:eastAsia="黑体" w:cs="宋体"/>
          <w:b/>
          <w:bCs/>
          <w:color w:val="404040"/>
          <w:sz w:val="26"/>
        </w:rPr>
        <w:t>四、答疑截止时间</w:t>
      </w:r>
    </w:p>
    <w:p w14:paraId="3CC385FB">
      <w:pPr>
        <w:adjustRightInd/>
        <w:snapToGrid/>
        <w:spacing w:before="150" w:after="0" w:line="480" w:lineRule="atLeast"/>
        <w:ind w:firstLine="520" w:firstLineChars="200"/>
        <w:jc w:val="both"/>
        <w:rPr>
          <w:rFonts w:ascii="方正仿宋简体" w:hAnsi="宋体" w:eastAsia="方正仿宋简体" w:cs="宋体"/>
          <w:color w:val="404040"/>
          <w:sz w:val="28"/>
          <w:szCs w:val="28"/>
        </w:rPr>
      </w:pPr>
      <w:r>
        <w:rPr>
          <w:rFonts w:hint="eastAsia" w:ascii="宋体" w:hAnsi="宋体" w:eastAsia="宋体" w:cs="宋体"/>
          <w:color w:val="404040"/>
          <w:sz w:val="26"/>
          <w:szCs w:val="26"/>
        </w:rPr>
        <w:t>投标人若要求澄清招标文件，应在获取招标文件截止时间后的2个工作日内提出，招标人将随时解答。</w:t>
      </w:r>
    </w:p>
    <w:p w14:paraId="6D0F1ED5">
      <w:pPr>
        <w:adjustRightInd/>
        <w:snapToGrid/>
        <w:spacing w:before="150" w:after="0" w:line="480" w:lineRule="atLeast"/>
        <w:jc w:val="both"/>
        <w:rPr>
          <w:rFonts w:ascii="方正仿宋简体" w:hAnsi="宋体" w:eastAsia="方正仿宋简体" w:cs="宋体"/>
          <w:color w:val="404040"/>
          <w:sz w:val="28"/>
          <w:szCs w:val="28"/>
        </w:rPr>
      </w:pPr>
      <w:r>
        <w:rPr>
          <w:rFonts w:hint="eastAsia" w:ascii="黑体" w:hAnsi="黑体" w:eastAsia="黑体" w:cs="宋体"/>
          <w:b/>
          <w:bCs/>
          <w:color w:val="404040"/>
          <w:sz w:val="26"/>
        </w:rPr>
        <w:t>五、投标文件的要求及递交</w:t>
      </w:r>
    </w:p>
    <w:p w14:paraId="04A72325">
      <w:pPr>
        <w:pStyle w:val="36"/>
        <w:numPr>
          <w:ilvl w:val="0"/>
          <w:numId w:val="4"/>
        </w:numPr>
        <w:adjustRightInd/>
        <w:snapToGrid/>
        <w:spacing w:after="0" w:line="480" w:lineRule="atLeast"/>
        <w:contextualSpacing w:val="0"/>
        <w:rPr>
          <w:rFonts w:ascii="宋体" w:hAnsi="宋体" w:eastAsia="宋体" w:cs="宋体"/>
          <w:color w:val="404040"/>
          <w:sz w:val="26"/>
          <w:szCs w:val="26"/>
        </w:rPr>
      </w:pPr>
      <w:r>
        <w:rPr>
          <w:rFonts w:hint="eastAsia" w:ascii="宋体" w:hAnsi="宋体" w:eastAsia="宋体" w:cs="宋体"/>
          <w:color w:val="404040"/>
          <w:sz w:val="26"/>
          <w:szCs w:val="26"/>
        </w:rPr>
        <w:t>投标文件正本壹份</w:t>
      </w:r>
      <w:r>
        <w:rPr>
          <w:rFonts w:ascii="宋体" w:hAnsi="宋体" w:eastAsia="宋体" w:cs="宋体"/>
          <w:color w:val="404040"/>
          <w:sz w:val="26"/>
          <w:szCs w:val="26"/>
        </w:rPr>
        <w:t>,</w:t>
      </w:r>
      <w:r>
        <w:rPr>
          <w:rFonts w:hint="eastAsia" w:ascii="宋体" w:hAnsi="宋体" w:eastAsia="宋体" w:cs="宋体"/>
          <w:color w:val="404040"/>
          <w:sz w:val="26"/>
          <w:szCs w:val="26"/>
        </w:rPr>
        <w:t>副本壹份胶装并密封加盖投标人公章。投标文件未胶装密封将导致其投标文件被拒绝。</w:t>
      </w:r>
    </w:p>
    <w:p w14:paraId="676E4BD3">
      <w:pPr>
        <w:pStyle w:val="36"/>
        <w:numPr>
          <w:ilvl w:val="0"/>
          <w:numId w:val="4"/>
        </w:numPr>
        <w:adjustRightInd/>
        <w:snapToGrid/>
        <w:spacing w:after="0" w:line="480" w:lineRule="atLeast"/>
        <w:contextualSpacing w:val="0"/>
        <w:rPr>
          <w:rFonts w:ascii="宋体" w:hAnsi="宋体" w:eastAsia="宋体" w:cs="宋体"/>
          <w:color w:val="404040"/>
          <w:sz w:val="26"/>
          <w:szCs w:val="26"/>
          <w:highlight w:val="none"/>
        </w:rPr>
      </w:pPr>
      <w:r>
        <w:rPr>
          <w:rFonts w:hint="eastAsia" w:ascii="宋体" w:hAnsi="宋体" w:eastAsia="宋体" w:cs="宋体"/>
          <w:color w:val="404040"/>
          <w:sz w:val="26"/>
          <w:szCs w:val="26"/>
          <w:highlight w:val="none"/>
        </w:rPr>
        <w:t>投标文</w:t>
      </w:r>
      <w:r>
        <w:rPr>
          <w:rFonts w:hint="eastAsia" w:ascii="宋体" w:hAnsi="宋体" w:eastAsia="宋体" w:cs="宋体"/>
          <w:color w:val="404040"/>
          <w:sz w:val="26"/>
          <w:szCs w:val="26"/>
          <w:highlight w:val="none"/>
        </w:rPr>
        <w:t>件递交的截止时间：202</w:t>
      </w:r>
      <w:r>
        <w:rPr>
          <w:rFonts w:hint="eastAsia" w:ascii="宋体" w:hAnsi="宋体" w:cs="宋体"/>
          <w:color w:val="404040"/>
          <w:sz w:val="26"/>
          <w:szCs w:val="26"/>
          <w:highlight w:val="none"/>
          <w:lang w:val="en-US" w:eastAsia="zh-CN"/>
        </w:rPr>
        <w:t>6</w:t>
      </w:r>
      <w:r>
        <w:rPr>
          <w:rFonts w:hint="eastAsia" w:ascii="宋体" w:hAnsi="宋体" w:eastAsia="宋体" w:cs="宋体"/>
          <w:color w:val="404040"/>
          <w:sz w:val="26"/>
          <w:szCs w:val="26"/>
          <w:highlight w:val="none"/>
        </w:rPr>
        <w:t>年</w:t>
      </w:r>
      <w:r>
        <w:rPr>
          <w:rFonts w:hint="eastAsia" w:ascii="宋体" w:hAnsi="宋体" w:cs="宋体"/>
          <w:color w:val="404040"/>
          <w:sz w:val="26"/>
          <w:szCs w:val="26"/>
          <w:highlight w:val="none"/>
          <w:lang w:val="en-US" w:eastAsia="zh-CN"/>
        </w:rPr>
        <w:t>5</w:t>
      </w:r>
      <w:r>
        <w:rPr>
          <w:rFonts w:hint="eastAsia" w:ascii="宋体" w:hAnsi="宋体" w:eastAsia="宋体" w:cs="宋体"/>
          <w:color w:val="404040"/>
          <w:sz w:val="26"/>
          <w:szCs w:val="26"/>
          <w:highlight w:val="none"/>
        </w:rPr>
        <w:t>月</w:t>
      </w:r>
      <w:r>
        <w:rPr>
          <w:rFonts w:hint="eastAsia" w:ascii="宋体" w:hAnsi="宋体" w:cs="宋体"/>
          <w:color w:val="404040"/>
          <w:sz w:val="26"/>
          <w:szCs w:val="26"/>
          <w:highlight w:val="none"/>
          <w:lang w:val="en-US" w:eastAsia="zh-CN"/>
        </w:rPr>
        <w:t>27</w:t>
      </w:r>
      <w:r>
        <w:rPr>
          <w:rFonts w:hint="eastAsia" w:ascii="宋体" w:hAnsi="宋体" w:eastAsia="宋体" w:cs="宋体"/>
          <w:color w:val="404040"/>
          <w:sz w:val="26"/>
          <w:szCs w:val="26"/>
          <w:highlight w:val="none"/>
        </w:rPr>
        <w:t>日</w:t>
      </w:r>
      <w:r>
        <w:rPr>
          <w:rFonts w:hint="eastAsia" w:ascii="宋体" w:hAnsi="宋体" w:eastAsia="宋体" w:cs="宋体"/>
          <w:color w:val="404040"/>
          <w:sz w:val="26"/>
          <w:szCs w:val="26"/>
          <w:highlight w:val="none"/>
          <w:lang w:val="en-US" w:eastAsia="zh-CN"/>
        </w:rPr>
        <w:t>9</w:t>
      </w:r>
      <w:r>
        <w:rPr>
          <w:rFonts w:hint="eastAsia" w:ascii="宋体" w:hAnsi="宋体" w:eastAsia="宋体" w:cs="宋体"/>
          <w:color w:val="404040"/>
          <w:sz w:val="26"/>
          <w:szCs w:val="26"/>
          <w:highlight w:val="none"/>
        </w:rPr>
        <w:t>:00</w:t>
      </w:r>
      <w:r>
        <w:rPr>
          <w:rFonts w:hint="eastAsia" w:ascii="宋体" w:hAnsi="宋体" w:eastAsia="宋体" w:cs="宋体"/>
          <w:color w:val="404040"/>
          <w:sz w:val="26"/>
          <w:szCs w:val="26"/>
          <w:highlight w:val="none"/>
        </w:rPr>
        <w:t>，提交地点为福建省肿瘤医院总务科，未送达指定地点或逾期送达者拒收。</w:t>
      </w:r>
    </w:p>
    <w:p w14:paraId="53299D4D">
      <w:pPr>
        <w:adjustRightInd/>
        <w:snapToGrid/>
        <w:spacing w:before="150" w:after="0" w:line="480" w:lineRule="atLeast"/>
        <w:jc w:val="both"/>
        <w:rPr>
          <w:rFonts w:ascii="黑体" w:hAnsi="黑体" w:eastAsia="黑体" w:cs="宋体"/>
          <w:b/>
          <w:bCs/>
          <w:color w:val="404040"/>
          <w:sz w:val="26"/>
          <w:highlight w:val="none"/>
        </w:rPr>
      </w:pPr>
      <w:r>
        <w:rPr>
          <w:rFonts w:hint="eastAsia" w:ascii="黑体" w:hAnsi="黑体" w:eastAsia="黑体" w:cs="宋体"/>
          <w:b/>
          <w:bCs/>
          <w:color w:val="404040"/>
          <w:sz w:val="26"/>
          <w:highlight w:val="none"/>
        </w:rPr>
        <w:t>六、开标评标时间地点</w:t>
      </w:r>
    </w:p>
    <w:p w14:paraId="6EADCA53">
      <w:pPr>
        <w:numPr>
          <w:ilvl w:val="0"/>
          <w:numId w:val="5"/>
        </w:numPr>
        <w:adjustRightInd/>
        <w:snapToGrid/>
        <w:spacing w:before="150" w:after="0" w:line="480" w:lineRule="atLeast"/>
        <w:ind w:left="865" w:leftChars="0" w:hanging="425" w:firstLineChars="0"/>
        <w:jc w:val="both"/>
        <w:rPr>
          <w:rFonts w:ascii="方正仿宋简体" w:hAnsi="宋体" w:eastAsia="方正仿宋简体" w:cs="宋体"/>
          <w:color w:val="404040"/>
          <w:sz w:val="28"/>
          <w:szCs w:val="28"/>
          <w:highlight w:val="none"/>
        </w:rPr>
      </w:pPr>
      <w:r>
        <w:rPr>
          <w:rFonts w:hint="eastAsia" w:ascii="宋体" w:hAnsi="宋体" w:eastAsia="宋体" w:cs="宋体"/>
          <w:color w:val="404040"/>
          <w:sz w:val="26"/>
          <w:szCs w:val="26"/>
          <w:highlight w:val="none"/>
        </w:rPr>
        <w:t>开标时间：202</w:t>
      </w:r>
      <w:r>
        <w:rPr>
          <w:rFonts w:hint="eastAsia" w:ascii="宋体" w:hAnsi="宋体" w:cs="宋体"/>
          <w:color w:val="404040"/>
          <w:sz w:val="26"/>
          <w:szCs w:val="26"/>
          <w:highlight w:val="none"/>
          <w:lang w:val="en-US" w:eastAsia="zh-CN"/>
        </w:rPr>
        <w:t>6</w:t>
      </w:r>
      <w:r>
        <w:rPr>
          <w:rFonts w:hint="eastAsia" w:ascii="宋体" w:hAnsi="宋体" w:eastAsia="宋体" w:cs="宋体"/>
          <w:color w:val="404040"/>
          <w:sz w:val="26"/>
          <w:szCs w:val="26"/>
          <w:highlight w:val="none"/>
        </w:rPr>
        <w:t>年</w:t>
      </w:r>
      <w:r>
        <w:rPr>
          <w:rFonts w:hint="eastAsia" w:ascii="宋体" w:hAnsi="宋体" w:cs="宋体"/>
          <w:color w:val="404040"/>
          <w:sz w:val="26"/>
          <w:szCs w:val="26"/>
          <w:highlight w:val="none"/>
          <w:lang w:val="en-US" w:eastAsia="zh-CN"/>
        </w:rPr>
        <w:t>5</w:t>
      </w:r>
      <w:r>
        <w:rPr>
          <w:rFonts w:hint="eastAsia" w:ascii="宋体" w:hAnsi="宋体" w:eastAsia="宋体" w:cs="宋体"/>
          <w:color w:val="404040"/>
          <w:sz w:val="26"/>
          <w:szCs w:val="26"/>
          <w:highlight w:val="none"/>
        </w:rPr>
        <w:t>月</w:t>
      </w:r>
      <w:r>
        <w:rPr>
          <w:rFonts w:hint="eastAsia" w:ascii="宋体" w:hAnsi="宋体" w:cs="宋体"/>
          <w:color w:val="404040"/>
          <w:sz w:val="26"/>
          <w:szCs w:val="26"/>
          <w:highlight w:val="none"/>
          <w:lang w:val="en-US" w:eastAsia="zh-CN"/>
        </w:rPr>
        <w:t>27</w:t>
      </w:r>
      <w:r>
        <w:rPr>
          <w:rFonts w:hint="eastAsia" w:ascii="宋体" w:hAnsi="宋体" w:eastAsia="宋体" w:cs="宋体"/>
          <w:color w:val="404040"/>
          <w:sz w:val="26"/>
          <w:szCs w:val="26"/>
          <w:highlight w:val="none"/>
        </w:rPr>
        <w:t>日</w:t>
      </w:r>
      <w:r>
        <w:rPr>
          <w:rFonts w:hint="eastAsia" w:ascii="宋体" w:hAnsi="宋体" w:eastAsia="宋体" w:cs="宋体"/>
          <w:color w:val="404040"/>
          <w:sz w:val="26"/>
          <w:szCs w:val="26"/>
          <w:highlight w:val="none"/>
          <w:lang w:val="en-US" w:eastAsia="zh-CN"/>
        </w:rPr>
        <w:t>9</w:t>
      </w:r>
      <w:r>
        <w:rPr>
          <w:rFonts w:hint="eastAsia" w:ascii="宋体" w:hAnsi="宋体" w:eastAsia="宋体" w:cs="宋体"/>
          <w:color w:val="404040"/>
          <w:sz w:val="26"/>
          <w:szCs w:val="26"/>
          <w:highlight w:val="none"/>
        </w:rPr>
        <w:t>:00时</w:t>
      </w:r>
    </w:p>
    <w:p w14:paraId="198A9918">
      <w:pPr>
        <w:numPr>
          <w:ilvl w:val="0"/>
          <w:numId w:val="5"/>
        </w:numPr>
        <w:adjustRightInd/>
        <w:snapToGrid/>
        <w:spacing w:before="150" w:after="0" w:line="480" w:lineRule="atLeast"/>
        <w:ind w:left="865" w:leftChars="0" w:hanging="425" w:firstLineChars="0"/>
        <w:jc w:val="both"/>
        <w:rPr>
          <w:rFonts w:ascii="宋体" w:hAnsi="宋体" w:eastAsia="宋体" w:cs="宋体"/>
          <w:color w:val="404040"/>
          <w:sz w:val="26"/>
          <w:szCs w:val="26"/>
        </w:rPr>
      </w:pPr>
      <w:r>
        <w:rPr>
          <w:rFonts w:hint="eastAsia" w:ascii="宋体" w:hAnsi="宋体" w:eastAsia="宋体" w:cs="宋体"/>
          <w:color w:val="404040"/>
          <w:sz w:val="26"/>
          <w:szCs w:val="26"/>
        </w:rPr>
        <w:t>评标时间：开标后即开始评标。</w:t>
      </w:r>
    </w:p>
    <w:p w14:paraId="6D7D77DF">
      <w:pPr>
        <w:numPr>
          <w:ilvl w:val="0"/>
          <w:numId w:val="5"/>
        </w:numPr>
        <w:adjustRightInd/>
        <w:snapToGrid/>
        <w:spacing w:before="150" w:after="0" w:line="480" w:lineRule="atLeast"/>
        <w:ind w:left="865" w:leftChars="0" w:hanging="425" w:firstLineChars="0"/>
        <w:jc w:val="both"/>
        <w:rPr>
          <w:rFonts w:ascii="宋体" w:hAnsi="宋体" w:eastAsia="宋体" w:cs="宋体"/>
          <w:color w:val="404040"/>
          <w:sz w:val="26"/>
          <w:szCs w:val="26"/>
        </w:rPr>
      </w:pPr>
      <w:r>
        <w:rPr>
          <w:rFonts w:hint="eastAsia" w:ascii="宋体" w:hAnsi="宋体" w:eastAsia="宋体" w:cs="宋体"/>
          <w:color w:val="404040"/>
          <w:sz w:val="26"/>
          <w:szCs w:val="26"/>
        </w:rPr>
        <w:t>地点：福建省肿瘤医院科研楼一楼总务科</w:t>
      </w:r>
    </w:p>
    <w:p w14:paraId="3717CAA8">
      <w:pPr>
        <w:adjustRightInd/>
        <w:snapToGrid/>
        <w:spacing w:before="150" w:after="0" w:line="480" w:lineRule="atLeast"/>
        <w:jc w:val="both"/>
        <w:rPr>
          <w:rFonts w:ascii="宋体" w:hAnsi="宋体" w:eastAsia="宋体" w:cs="宋体"/>
          <w:color w:val="404040"/>
          <w:sz w:val="26"/>
          <w:szCs w:val="26"/>
        </w:rPr>
      </w:pPr>
      <w:r>
        <w:rPr>
          <w:rFonts w:hint="eastAsia" w:ascii="宋体" w:hAnsi="宋体" w:eastAsia="宋体" w:cs="宋体"/>
          <w:color w:val="404040"/>
          <w:sz w:val="26"/>
          <w:szCs w:val="26"/>
        </w:rPr>
        <w:t>备注：</w:t>
      </w:r>
    </w:p>
    <w:p w14:paraId="7FBE4D66">
      <w:pPr>
        <w:numPr>
          <w:ilvl w:val="0"/>
          <w:numId w:val="6"/>
        </w:numPr>
        <w:spacing w:before="150" w:line="560" w:lineRule="exact"/>
        <w:ind w:left="-80" w:leftChars="0" w:firstLine="520" w:firstLineChars="0"/>
        <w:rPr>
          <w:rFonts w:hint="eastAsia" w:ascii="宋体" w:hAnsi="宋体" w:eastAsia="宋体" w:cs="宋体"/>
          <w:color w:val="404040"/>
          <w:sz w:val="26"/>
          <w:szCs w:val="26"/>
        </w:rPr>
      </w:pPr>
      <w:r>
        <w:rPr>
          <w:rFonts w:hint="eastAsia" w:ascii="宋体" w:hAnsi="宋体" w:eastAsia="宋体" w:cs="宋体"/>
          <w:color w:val="404040"/>
          <w:sz w:val="26"/>
          <w:szCs w:val="26"/>
        </w:rPr>
        <w:t>未参加报名的潜在投标人，其投标文件将被拒绝。</w:t>
      </w:r>
    </w:p>
    <w:p w14:paraId="5696B110">
      <w:pPr>
        <w:numPr>
          <w:ilvl w:val="0"/>
          <w:numId w:val="6"/>
        </w:numPr>
        <w:spacing w:before="150" w:line="560" w:lineRule="exact"/>
        <w:ind w:left="-80" w:leftChars="0" w:firstLine="520" w:firstLineChars="0"/>
        <w:rPr>
          <w:rFonts w:ascii="宋体" w:hAnsi="宋体" w:eastAsia="宋体" w:cs="宋体"/>
          <w:color w:val="404040"/>
          <w:sz w:val="26"/>
          <w:szCs w:val="26"/>
        </w:rPr>
      </w:pPr>
      <w:r>
        <w:rPr>
          <w:rFonts w:hint="eastAsia" w:ascii="宋体" w:hAnsi="宋体" w:eastAsia="宋体" w:cs="宋体"/>
          <w:color w:val="404040"/>
          <w:sz w:val="26"/>
          <w:szCs w:val="26"/>
        </w:rPr>
        <w:t>若有涉及招标文件内容更正，请各潜在投标人密切关注福建省肿瘤医院官网通知，以最新公告为准。</w:t>
      </w:r>
    </w:p>
    <w:p w14:paraId="79886EEB">
      <w:pPr>
        <w:adjustRightInd/>
        <w:snapToGrid/>
        <w:spacing w:before="150" w:after="0" w:line="480" w:lineRule="atLeast"/>
        <w:jc w:val="both"/>
        <w:rPr>
          <w:rFonts w:ascii="方正仿宋简体" w:hAnsi="宋体" w:eastAsia="方正仿宋简体" w:cs="宋体"/>
          <w:color w:val="404040"/>
          <w:sz w:val="28"/>
          <w:szCs w:val="28"/>
        </w:rPr>
      </w:pPr>
      <w:r>
        <w:rPr>
          <w:rFonts w:hint="eastAsia" w:ascii="黑体" w:hAnsi="黑体" w:eastAsia="黑体" w:cs="宋体"/>
          <w:b/>
          <w:bCs/>
          <w:color w:val="404040"/>
          <w:sz w:val="26"/>
          <w:lang w:val="en-US" w:eastAsia="zh-CN"/>
        </w:rPr>
        <w:t>七</w:t>
      </w:r>
      <w:r>
        <w:rPr>
          <w:rFonts w:hint="eastAsia" w:ascii="黑体" w:hAnsi="黑体" w:eastAsia="黑体" w:cs="宋体"/>
          <w:b/>
          <w:bCs/>
          <w:color w:val="404040"/>
          <w:sz w:val="26"/>
        </w:rPr>
        <w:t>、评标原则及办法</w:t>
      </w:r>
    </w:p>
    <w:p w14:paraId="40309FD8">
      <w:pPr>
        <w:pStyle w:val="36"/>
        <w:numPr>
          <w:ilvl w:val="0"/>
          <w:numId w:val="7"/>
        </w:numPr>
        <w:adjustRightInd/>
        <w:snapToGrid/>
        <w:spacing w:after="0" w:line="480" w:lineRule="atLeast"/>
        <w:contextualSpacing w:val="0"/>
        <w:rPr>
          <w:rFonts w:ascii="宋体" w:hAnsi="宋体" w:eastAsia="宋体" w:cs="宋体"/>
          <w:color w:val="404040"/>
          <w:sz w:val="26"/>
          <w:szCs w:val="26"/>
        </w:rPr>
      </w:pPr>
      <w:r>
        <w:rPr>
          <w:rFonts w:hint="eastAsia" w:ascii="宋体" w:hAnsi="宋体" w:eastAsia="宋体" w:cs="宋体"/>
          <w:color w:val="404040"/>
          <w:sz w:val="26"/>
          <w:szCs w:val="26"/>
        </w:rPr>
        <w:t>评标活动遵循公平、公正、科学和择优的原则。</w:t>
      </w:r>
    </w:p>
    <w:p w14:paraId="4BDF0C33">
      <w:pPr>
        <w:pStyle w:val="36"/>
        <w:numPr>
          <w:ilvl w:val="0"/>
          <w:numId w:val="7"/>
        </w:numPr>
        <w:adjustRightInd/>
        <w:snapToGrid/>
        <w:spacing w:after="0" w:line="480" w:lineRule="atLeast"/>
        <w:contextualSpacing w:val="0"/>
        <w:rPr>
          <w:rFonts w:ascii="宋体" w:hAnsi="宋体" w:eastAsia="宋体" w:cs="宋体"/>
          <w:color w:val="404040"/>
          <w:sz w:val="26"/>
          <w:szCs w:val="26"/>
        </w:rPr>
      </w:pPr>
      <w:r>
        <w:rPr>
          <w:rFonts w:hint="eastAsia" w:ascii="宋体" w:hAnsi="宋体" w:eastAsia="宋体" w:cs="宋体"/>
          <w:color w:val="404040"/>
          <w:sz w:val="26"/>
          <w:szCs w:val="26"/>
        </w:rPr>
        <w:t>评标方法：</w:t>
      </w:r>
      <w:r>
        <w:rPr>
          <w:rFonts w:hint="eastAsia" w:ascii="宋体" w:hAnsi="宋体" w:cs="宋体"/>
          <w:color w:val="404040"/>
          <w:sz w:val="26"/>
          <w:szCs w:val="26"/>
          <w:lang w:val="en-US" w:eastAsia="zh-CN"/>
        </w:rPr>
        <w:t>综合评分法</w:t>
      </w:r>
      <w:r>
        <w:rPr>
          <w:rFonts w:hint="eastAsia" w:ascii="宋体" w:hAnsi="宋体" w:eastAsia="宋体" w:cs="宋体"/>
          <w:color w:val="404040"/>
          <w:sz w:val="26"/>
          <w:szCs w:val="26"/>
          <w:lang w:val="en-US" w:eastAsia="zh-CN"/>
        </w:rPr>
        <w:t>。</w:t>
      </w:r>
    </w:p>
    <w:p w14:paraId="38DE564D">
      <w:pPr>
        <w:pStyle w:val="36"/>
        <w:numPr>
          <w:ilvl w:val="0"/>
          <w:numId w:val="7"/>
        </w:numPr>
        <w:adjustRightInd/>
        <w:snapToGrid/>
        <w:spacing w:after="0" w:line="480" w:lineRule="atLeast"/>
        <w:contextualSpacing w:val="0"/>
        <w:rPr>
          <w:rFonts w:ascii="宋体" w:hAnsi="宋体" w:eastAsia="宋体" w:cs="宋体"/>
          <w:color w:val="404040"/>
          <w:sz w:val="26"/>
          <w:szCs w:val="26"/>
        </w:rPr>
      </w:pPr>
      <w:r>
        <w:rPr>
          <w:rFonts w:hint="eastAsia" w:ascii="宋体" w:hAnsi="宋体" w:eastAsia="宋体" w:cs="宋体"/>
          <w:color w:val="404040"/>
          <w:sz w:val="26"/>
          <w:szCs w:val="26"/>
        </w:rPr>
        <w:t>投标人之间有相互串通投标、弄虚作假等违规行为者，将作废标处理，并在我院未来的项目招标中被拒绝接受投标。</w:t>
      </w:r>
    </w:p>
    <w:p w14:paraId="155387E2">
      <w:pPr>
        <w:adjustRightInd/>
        <w:snapToGrid/>
        <w:spacing w:before="150" w:after="0" w:line="480" w:lineRule="atLeast"/>
        <w:jc w:val="both"/>
        <w:rPr>
          <w:rFonts w:ascii="方正仿宋简体" w:hAnsi="宋体" w:eastAsia="方正仿宋简体" w:cs="宋体"/>
          <w:color w:val="404040"/>
          <w:sz w:val="28"/>
          <w:szCs w:val="28"/>
        </w:rPr>
      </w:pPr>
      <w:r>
        <w:rPr>
          <w:rFonts w:hint="eastAsia" w:ascii="黑体" w:hAnsi="黑体" w:eastAsia="黑体" w:cs="宋体"/>
          <w:b/>
          <w:bCs/>
          <w:color w:val="404040"/>
          <w:sz w:val="26"/>
          <w:lang w:val="en-US" w:eastAsia="zh-CN"/>
        </w:rPr>
        <w:t>八</w:t>
      </w:r>
      <w:r>
        <w:rPr>
          <w:rFonts w:hint="eastAsia" w:ascii="黑体" w:hAnsi="黑体" w:eastAsia="黑体" w:cs="宋体"/>
          <w:b/>
          <w:bCs/>
          <w:color w:val="404040"/>
          <w:sz w:val="26"/>
        </w:rPr>
        <w:t>、合同条款内容及签订</w:t>
      </w:r>
    </w:p>
    <w:p w14:paraId="51B7B943">
      <w:pPr>
        <w:pStyle w:val="36"/>
        <w:numPr>
          <w:ilvl w:val="0"/>
          <w:numId w:val="8"/>
        </w:numPr>
        <w:adjustRightInd/>
        <w:snapToGrid/>
        <w:spacing w:after="0" w:line="480" w:lineRule="atLeast"/>
        <w:contextualSpacing w:val="0"/>
        <w:rPr>
          <w:rFonts w:ascii="宋体" w:hAnsi="宋体" w:eastAsia="宋体" w:cs="宋体"/>
          <w:color w:val="404040"/>
          <w:sz w:val="26"/>
          <w:szCs w:val="26"/>
        </w:rPr>
      </w:pPr>
      <w:r>
        <w:rPr>
          <w:rFonts w:hint="eastAsia" w:ascii="宋体" w:hAnsi="宋体" w:eastAsia="宋体" w:cs="宋体"/>
          <w:color w:val="404040"/>
          <w:sz w:val="26"/>
          <w:szCs w:val="26"/>
        </w:rPr>
        <w:t>合同专用条款内容依照国家规范文本，合同通用条款内容解释依照国家规范文本。</w:t>
      </w:r>
    </w:p>
    <w:p w14:paraId="392F5B9F">
      <w:pPr>
        <w:pStyle w:val="36"/>
        <w:numPr>
          <w:ilvl w:val="0"/>
          <w:numId w:val="8"/>
        </w:numPr>
        <w:adjustRightInd/>
        <w:snapToGrid/>
        <w:spacing w:after="0" w:line="480" w:lineRule="atLeast"/>
        <w:contextualSpacing w:val="0"/>
        <w:rPr>
          <w:rFonts w:ascii="宋体" w:hAnsi="宋体" w:eastAsia="宋体" w:cs="宋体"/>
          <w:color w:val="404040"/>
          <w:sz w:val="26"/>
          <w:szCs w:val="26"/>
        </w:rPr>
      </w:pPr>
      <w:r>
        <w:rPr>
          <w:rFonts w:hint="eastAsia" w:ascii="宋体" w:hAnsi="宋体" w:eastAsia="宋体" w:cs="宋体"/>
          <w:color w:val="404040"/>
          <w:sz w:val="26"/>
          <w:szCs w:val="26"/>
        </w:rPr>
        <w:t>合同签订：中标人在接到中标通知后3天内，应派代表与招标人联系，商讨签订合同事宜。</w:t>
      </w:r>
    </w:p>
    <w:p w14:paraId="06853512">
      <w:pPr>
        <w:adjustRightInd/>
        <w:snapToGrid/>
        <w:spacing w:before="150" w:after="0" w:line="480" w:lineRule="atLeast"/>
        <w:jc w:val="both"/>
        <w:rPr>
          <w:rFonts w:ascii="黑体" w:hAnsi="黑体" w:eastAsia="黑体" w:cs="宋体"/>
          <w:b/>
          <w:bCs/>
          <w:color w:val="404040"/>
          <w:sz w:val="26"/>
        </w:rPr>
      </w:pPr>
      <w:r>
        <w:rPr>
          <w:rFonts w:hint="eastAsia" w:eastAsia="黑体" w:cs="宋体"/>
          <w:b/>
          <w:bCs/>
          <w:color w:val="404040"/>
          <w:sz w:val="26"/>
          <w:lang w:val="en-US" w:eastAsia="zh-CN"/>
        </w:rPr>
        <w:t>九</w:t>
      </w:r>
      <w:r>
        <w:rPr>
          <w:rFonts w:hint="eastAsia" w:ascii="黑体" w:hAnsi="黑体" w:eastAsia="黑体" w:cs="宋体"/>
          <w:b/>
          <w:bCs/>
          <w:color w:val="404040"/>
          <w:sz w:val="26"/>
        </w:rPr>
        <w:t>、监督电话</w:t>
      </w:r>
    </w:p>
    <w:p w14:paraId="622BB401">
      <w:pPr>
        <w:adjustRightInd/>
        <w:snapToGrid/>
        <w:spacing w:before="150" w:after="0" w:line="480" w:lineRule="atLeast"/>
        <w:ind w:firstLine="480"/>
        <w:jc w:val="both"/>
        <w:rPr>
          <w:rFonts w:ascii="宋体" w:hAnsi="宋体" w:eastAsia="宋体" w:cs="宋体"/>
          <w:color w:val="404040"/>
          <w:sz w:val="26"/>
          <w:szCs w:val="26"/>
        </w:rPr>
      </w:pPr>
      <w:r>
        <w:rPr>
          <w:rFonts w:ascii="宋体" w:hAnsi="宋体" w:eastAsia="宋体" w:cs="宋体"/>
          <w:color w:val="404040"/>
          <w:sz w:val="26"/>
          <w:szCs w:val="26"/>
        </w:rPr>
        <w:t>在采购报名、采购调研等采购过程中有任何异议，可联系我院监督科室。电话：83660063-8407；83660063-8467。</w:t>
      </w:r>
    </w:p>
    <w:p w14:paraId="20AD6C45">
      <w:pPr>
        <w:ind w:firstLine="480"/>
        <w:rPr>
          <w:rFonts w:ascii="宋体" w:hAnsi="宋体" w:cs="Times New Roman"/>
          <w:sz w:val="24"/>
          <w:u w:val="single"/>
        </w:rPr>
      </w:pPr>
    </w:p>
    <w:p w14:paraId="3BABA83D">
      <w:pPr>
        <w:rPr>
          <w:rFonts w:ascii="宋体" w:hAnsi="宋体" w:cs="Times New Roman"/>
          <w:sz w:val="28"/>
          <w:szCs w:val="28"/>
          <w:u w:val="single"/>
        </w:rPr>
      </w:pPr>
    </w:p>
    <w:p w14:paraId="79799431">
      <w:pPr>
        <w:adjustRightInd/>
        <w:snapToGrid/>
        <w:spacing w:before="150" w:after="0" w:line="480" w:lineRule="atLeast"/>
        <w:ind w:left="6354" w:leftChars="399" w:hanging="5516" w:hangingChars="1970"/>
        <w:jc w:val="both"/>
        <w:rPr>
          <w:rFonts w:hint="eastAsia" w:ascii="宋体" w:hAnsi="宋体" w:eastAsia="宋体" w:cs="宋体"/>
          <w:color w:val="404040"/>
          <w:sz w:val="26"/>
          <w:szCs w:val="26"/>
          <w:lang w:val="en-US" w:eastAsia="zh-CN"/>
        </w:rPr>
      </w:pPr>
      <w:r>
        <w:rPr>
          <w:rFonts w:hint="eastAsia" w:ascii="宋体" w:hAnsi="宋体" w:cs="Times New Roman"/>
          <w:sz w:val="28"/>
          <w:szCs w:val="28"/>
        </w:rPr>
        <w:t xml:space="preserve">                                </w:t>
      </w:r>
      <w:r>
        <w:rPr>
          <w:rFonts w:hint="eastAsia" w:ascii="宋体" w:hAnsi="宋体" w:cs="Times New Roman"/>
          <w:sz w:val="28"/>
          <w:szCs w:val="28"/>
          <w:lang w:val="en-US" w:eastAsia="zh-CN"/>
        </w:rPr>
        <w:t xml:space="preserve">       </w:t>
      </w:r>
      <w:r>
        <w:rPr>
          <w:rFonts w:hint="eastAsia" w:ascii="宋体" w:hAnsi="宋体" w:eastAsia="宋体" w:cs="宋体"/>
          <w:color w:val="404040"/>
          <w:sz w:val="26"/>
          <w:szCs w:val="26"/>
        </w:rPr>
        <w:t>福建省肿瘤医院</w:t>
      </w:r>
      <w:r>
        <w:rPr>
          <w:rFonts w:hint="eastAsia" w:ascii="宋体" w:hAnsi="宋体" w:eastAsia="宋体" w:cs="宋体"/>
          <w:color w:val="404040"/>
          <w:sz w:val="26"/>
          <w:szCs w:val="26"/>
          <w:lang w:val="en-US" w:eastAsia="zh-CN"/>
        </w:rPr>
        <w:t xml:space="preserve"> </w:t>
      </w:r>
    </w:p>
    <w:p w14:paraId="035735BE">
      <w:pPr>
        <w:adjustRightInd/>
        <w:snapToGrid/>
        <w:spacing w:before="150" w:after="0" w:line="480" w:lineRule="atLeast"/>
        <w:ind w:left="5960" w:leftChars="399" w:hanging="5122" w:hangingChars="1970"/>
        <w:jc w:val="both"/>
        <w:rPr>
          <w:rFonts w:ascii="宋体" w:hAnsi="宋体" w:eastAsia="宋体" w:cs="宋体"/>
          <w:color w:val="404040"/>
          <w:sz w:val="26"/>
          <w:szCs w:val="26"/>
        </w:rPr>
      </w:pPr>
      <w:r>
        <w:rPr>
          <w:rFonts w:hint="eastAsia" w:ascii="宋体" w:hAnsi="宋体" w:eastAsia="宋体" w:cs="宋体"/>
          <w:color w:val="404040"/>
          <w:sz w:val="26"/>
          <w:szCs w:val="26"/>
          <w:lang w:val="en-US" w:eastAsia="zh-CN"/>
        </w:rPr>
        <w:t xml:space="preserve">         </w:t>
      </w:r>
      <w:r>
        <w:rPr>
          <w:rFonts w:hint="eastAsia" w:ascii="宋体" w:hAnsi="宋体" w:cs="宋体"/>
          <w:color w:val="404040"/>
          <w:sz w:val="26"/>
          <w:szCs w:val="26"/>
          <w:lang w:val="en-US" w:eastAsia="zh-CN"/>
        </w:rPr>
        <w:t xml:space="preserve">                                </w:t>
      </w:r>
      <w:r>
        <w:rPr>
          <w:rFonts w:hint="eastAsia" w:ascii="宋体" w:hAnsi="宋体" w:eastAsia="宋体" w:cs="宋体"/>
          <w:color w:val="404040"/>
          <w:sz w:val="26"/>
          <w:szCs w:val="26"/>
        </w:rPr>
        <w:t>202</w:t>
      </w:r>
      <w:r>
        <w:rPr>
          <w:rFonts w:hint="eastAsia" w:ascii="宋体" w:hAnsi="宋体" w:eastAsia="宋体" w:cs="宋体"/>
          <w:color w:val="404040"/>
          <w:sz w:val="26"/>
          <w:szCs w:val="26"/>
          <w:lang w:val="en-US" w:eastAsia="zh-CN"/>
        </w:rPr>
        <w:t>6</w:t>
      </w:r>
      <w:r>
        <w:rPr>
          <w:rFonts w:hint="eastAsia" w:ascii="宋体" w:hAnsi="宋体" w:eastAsia="宋体" w:cs="宋体"/>
          <w:color w:val="404040"/>
          <w:sz w:val="26"/>
          <w:szCs w:val="26"/>
        </w:rPr>
        <w:t>年</w:t>
      </w:r>
      <w:r>
        <w:rPr>
          <w:rFonts w:hint="eastAsia" w:ascii="宋体" w:hAnsi="宋体" w:cs="宋体"/>
          <w:color w:val="404040"/>
          <w:sz w:val="26"/>
          <w:szCs w:val="26"/>
          <w:lang w:val="en-US" w:eastAsia="zh-CN"/>
        </w:rPr>
        <w:t>5</w:t>
      </w:r>
      <w:r>
        <w:rPr>
          <w:rFonts w:hint="eastAsia" w:ascii="宋体" w:hAnsi="宋体" w:eastAsia="宋体" w:cs="宋体"/>
          <w:color w:val="404040"/>
          <w:sz w:val="26"/>
          <w:szCs w:val="26"/>
        </w:rPr>
        <w:t>月</w:t>
      </w:r>
      <w:r>
        <w:rPr>
          <w:rFonts w:hint="eastAsia" w:ascii="宋体" w:hAnsi="宋体" w:cs="宋体"/>
          <w:color w:val="404040"/>
          <w:sz w:val="26"/>
          <w:szCs w:val="26"/>
          <w:lang w:val="en-US" w:eastAsia="zh-CN"/>
        </w:rPr>
        <w:t>19</w:t>
      </w:r>
      <w:r>
        <w:rPr>
          <w:rFonts w:hint="eastAsia" w:ascii="宋体" w:hAnsi="宋体" w:eastAsia="宋体" w:cs="宋体"/>
          <w:color w:val="404040"/>
          <w:sz w:val="26"/>
          <w:szCs w:val="26"/>
        </w:rPr>
        <w:t>日</w:t>
      </w:r>
    </w:p>
    <w:p w14:paraId="60E63086">
      <w:pPr>
        <w:pStyle w:val="14"/>
        <w:jc w:val="left"/>
        <w:rPr>
          <w:rFonts w:ascii="仿宋" w:hAnsi="仿宋" w:eastAsia="仿宋"/>
          <w:b/>
          <w:sz w:val="30"/>
          <w:szCs w:val="30"/>
        </w:rPr>
      </w:pPr>
    </w:p>
    <w:p w14:paraId="392D4B06">
      <w:pPr>
        <w:pStyle w:val="14"/>
        <w:jc w:val="left"/>
        <w:rPr>
          <w:rFonts w:ascii="仿宋" w:hAnsi="仿宋" w:eastAsia="仿宋"/>
          <w:b/>
          <w:sz w:val="30"/>
          <w:szCs w:val="30"/>
        </w:rPr>
      </w:pPr>
    </w:p>
    <w:p w14:paraId="7A7C7908">
      <w:pPr>
        <w:pStyle w:val="14"/>
        <w:jc w:val="left"/>
        <w:rPr>
          <w:rFonts w:ascii="仿宋" w:hAnsi="仿宋" w:eastAsia="仿宋"/>
          <w:b/>
          <w:sz w:val="30"/>
          <w:szCs w:val="30"/>
        </w:rPr>
      </w:pPr>
    </w:p>
    <w:p w14:paraId="78C091AE">
      <w:pPr>
        <w:rPr>
          <w:rFonts w:hAnsi="宋体" w:eastAsia="宋体"/>
          <w:b/>
          <w:sz w:val="30"/>
          <w:szCs w:val="30"/>
        </w:rPr>
      </w:pPr>
      <w:r>
        <w:rPr>
          <w:rFonts w:hAnsi="宋体" w:eastAsia="宋体"/>
          <w:b/>
          <w:sz w:val="30"/>
          <w:szCs w:val="30"/>
        </w:rPr>
        <w:br w:type="page"/>
      </w:r>
    </w:p>
    <w:p w14:paraId="3FD311A9">
      <w:pPr>
        <w:pStyle w:val="14"/>
        <w:rPr>
          <w:rFonts w:hAnsi="宋体" w:eastAsia="宋体"/>
          <w:b/>
          <w:sz w:val="30"/>
          <w:szCs w:val="30"/>
        </w:rPr>
      </w:pPr>
    </w:p>
    <w:p w14:paraId="2018BEBE">
      <w:pPr>
        <w:pStyle w:val="14"/>
        <w:jc w:val="center"/>
        <w:rPr>
          <w:rFonts w:hAnsi="宋体" w:eastAsia="宋体"/>
          <w:b/>
          <w:sz w:val="30"/>
          <w:szCs w:val="30"/>
        </w:rPr>
      </w:pPr>
      <w:r>
        <w:rPr>
          <w:rFonts w:hint="eastAsia" w:hAnsi="宋体" w:eastAsia="宋体"/>
          <w:b/>
          <w:sz w:val="30"/>
          <w:szCs w:val="30"/>
        </w:rPr>
        <w:t>采购内容一览</w:t>
      </w:r>
    </w:p>
    <w:tbl>
      <w:tblPr>
        <w:tblStyle w:val="19"/>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603"/>
        <w:gridCol w:w="1756"/>
        <w:gridCol w:w="1141"/>
        <w:gridCol w:w="3034"/>
        <w:gridCol w:w="988"/>
      </w:tblGrid>
      <w:tr w14:paraId="24B611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4" w:hRule="atLeast"/>
          <w:jc w:val="center"/>
        </w:trPr>
        <w:tc>
          <w:tcPr>
            <w:tcW w:w="0" w:type="auto"/>
            <w:tcBorders>
              <w:top w:val="single" w:color="000000" w:sz="4" w:space="0"/>
              <w:left w:val="single" w:color="000000" w:sz="4" w:space="0"/>
              <w:bottom w:val="single" w:color="000000" w:sz="4" w:space="0"/>
              <w:right w:val="single" w:color="000000" w:sz="4" w:space="0"/>
            </w:tcBorders>
            <w:vAlign w:val="center"/>
          </w:tcPr>
          <w:p w14:paraId="791B12DA">
            <w:pPr>
              <w:jc w:val="center"/>
              <w:rPr>
                <w:rFonts w:ascii="宋体" w:hAnsi="宋体" w:cs="Arial"/>
                <w:color w:val="000000"/>
                <w:sz w:val="24"/>
              </w:rPr>
            </w:pPr>
            <w:r>
              <w:rPr>
                <w:rFonts w:hint="eastAsia" w:ascii="宋体" w:hAnsi="宋体" w:cs="Arial"/>
                <w:color w:val="000000"/>
                <w:sz w:val="24"/>
              </w:rPr>
              <w:t>项 目 名 称</w:t>
            </w:r>
          </w:p>
        </w:tc>
        <w:tc>
          <w:tcPr>
            <w:tcW w:w="0" w:type="auto"/>
            <w:tcBorders>
              <w:top w:val="single" w:color="000000" w:sz="4" w:space="0"/>
              <w:left w:val="single" w:color="000000" w:sz="4" w:space="0"/>
              <w:bottom w:val="single" w:color="000000" w:sz="4" w:space="0"/>
              <w:right w:val="single" w:color="000000" w:sz="4" w:space="0"/>
            </w:tcBorders>
            <w:vAlign w:val="center"/>
          </w:tcPr>
          <w:p w14:paraId="06F840CD">
            <w:pPr>
              <w:jc w:val="center"/>
              <w:rPr>
                <w:rFonts w:ascii="宋体" w:hAnsi="宋体" w:cs="Arial"/>
                <w:color w:val="000000"/>
                <w:sz w:val="24"/>
              </w:rPr>
            </w:pPr>
            <w:r>
              <w:rPr>
                <w:rFonts w:hint="eastAsia" w:ascii="宋体" w:hAnsi="宋体" w:cs="Arial"/>
                <w:color w:val="000000"/>
                <w:sz w:val="24"/>
              </w:rPr>
              <w:t>主要服务内容及要求</w:t>
            </w:r>
          </w:p>
        </w:tc>
        <w:tc>
          <w:tcPr>
            <w:tcW w:w="0" w:type="auto"/>
            <w:tcBorders>
              <w:top w:val="single" w:color="000000" w:sz="4" w:space="0"/>
              <w:left w:val="single" w:color="000000" w:sz="4" w:space="0"/>
              <w:bottom w:val="single" w:color="000000" w:sz="4" w:space="0"/>
              <w:right w:val="single" w:color="000000" w:sz="4" w:space="0"/>
            </w:tcBorders>
            <w:vAlign w:val="center"/>
          </w:tcPr>
          <w:p w14:paraId="0FB5B403">
            <w:pPr>
              <w:jc w:val="center"/>
              <w:rPr>
                <w:rFonts w:ascii="宋体" w:hAnsi="宋体" w:cs="Arial"/>
                <w:color w:val="000000"/>
                <w:sz w:val="24"/>
              </w:rPr>
            </w:pPr>
            <w:r>
              <w:rPr>
                <w:rFonts w:hint="eastAsia" w:ascii="宋体" w:hAnsi="宋体" w:cs="Arial"/>
                <w:color w:val="000000"/>
                <w:sz w:val="24"/>
              </w:rPr>
              <w:t>评标办法</w:t>
            </w:r>
          </w:p>
        </w:tc>
        <w:tc>
          <w:tcPr>
            <w:tcW w:w="0" w:type="auto"/>
            <w:tcBorders>
              <w:top w:val="single" w:color="000000" w:sz="4" w:space="0"/>
              <w:left w:val="single" w:color="000000" w:sz="4" w:space="0"/>
              <w:bottom w:val="single" w:color="000000" w:sz="4" w:space="0"/>
              <w:right w:val="single" w:color="000000" w:sz="4" w:space="0"/>
            </w:tcBorders>
            <w:vAlign w:val="center"/>
          </w:tcPr>
          <w:p w14:paraId="5BEF52BA">
            <w:pPr>
              <w:jc w:val="center"/>
              <w:rPr>
                <w:rFonts w:hint="eastAsia" w:ascii="宋体" w:hAnsi="宋体" w:eastAsia="宋体" w:cs="Arial"/>
                <w:color w:val="000000"/>
                <w:sz w:val="24"/>
                <w:lang w:eastAsia="zh-CN"/>
              </w:rPr>
            </w:pPr>
            <w:r>
              <w:rPr>
                <w:rStyle w:val="22"/>
                <w:rFonts w:ascii="宋体" w:hAnsi="宋体" w:eastAsia="宋体" w:cs="宋体"/>
                <w:b w:val="0"/>
                <w:bCs w:val="0"/>
                <w:color w:val="000000"/>
                <w:sz w:val="24"/>
                <w:szCs w:val="24"/>
              </w:rPr>
              <w:t>综合管理服务费</w:t>
            </w:r>
            <w:r>
              <w:rPr>
                <w:rStyle w:val="22"/>
                <w:rFonts w:hint="eastAsia" w:ascii="宋体" w:hAnsi="宋体" w:eastAsia="宋体" w:cs="宋体"/>
                <w:b w:val="0"/>
                <w:bCs w:val="0"/>
                <w:color w:val="000000"/>
                <w:sz w:val="24"/>
                <w:szCs w:val="24"/>
                <w:lang w:val="en-US" w:eastAsia="zh-CN"/>
              </w:rPr>
              <w:t>最低限价</w:t>
            </w:r>
            <w:r>
              <w:rPr>
                <w:rFonts w:hint="eastAsia" w:ascii="宋体" w:hAnsi="宋体" w:cs="Arial"/>
                <w:color w:val="000000"/>
                <w:sz w:val="24"/>
                <w:lang w:eastAsia="zh-CN"/>
              </w:rPr>
              <w:t>（</w:t>
            </w:r>
            <w:r>
              <w:rPr>
                <w:rFonts w:hint="eastAsia" w:ascii="宋体" w:hAnsi="宋体" w:cs="Arial"/>
                <w:color w:val="000000"/>
                <w:sz w:val="24"/>
                <w:lang w:val="en-US" w:eastAsia="zh-CN"/>
              </w:rPr>
              <w:t>元</w:t>
            </w:r>
            <w:r>
              <w:rPr>
                <w:rFonts w:hint="eastAsia" w:ascii="宋体" w:hAnsi="宋体" w:cs="Arial"/>
                <w:sz w:val="24"/>
              </w:rPr>
              <w:t>/</w:t>
            </w:r>
            <w:r>
              <w:rPr>
                <w:rFonts w:hint="eastAsia" w:ascii="宋体" w:hAnsi="宋体" w:cs="Arial"/>
                <w:color w:val="000000"/>
                <w:sz w:val="24"/>
                <w:lang w:val="en-US" w:eastAsia="zh-CN"/>
              </w:rPr>
              <w:t>每年</w:t>
            </w:r>
            <w:r>
              <w:rPr>
                <w:rFonts w:hint="eastAsia" w:ascii="宋体" w:hAnsi="宋体" w:cs="Arial"/>
                <w:color w:val="000000"/>
                <w:sz w:val="24"/>
                <w:lang w:eastAsia="zh-CN"/>
              </w:rPr>
              <w:t>）</w:t>
            </w:r>
          </w:p>
        </w:tc>
        <w:tc>
          <w:tcPr>
            <w:tcW w:w="0" w:type="auto"/>
            <w:tcBorders>
              <w:top w:val="single" w:color="000000" w:sz="4" w:space="0"/>
              <w:left w:val="single" w:color="000000" w:sz="4" w:space="0"/>
              <w:bottom w:val="single" w:color="000000" w:sz="4" w:space="0"/>
              <w:right w:val="single" w:color="000000" w:sz="4" w:space="0"/>
            </w:tcBorders>
            <w:vAlign w:val="center"/>
          </w:tcPr>
          <w:p w14:paraId="69527806">
            <w:pPr>
              <w:jc w:val="center"/>
              <w:rPr>
                <w:rFonts w:hint="eastAsia" w:ascii="宋体" w:hAnsi="宋体" w:eastAsia="宋体" w:cs="Arial"/>
                <w:color w:val="000000"/>
                <w:sz w:val="24"/>
                <w:lang w:val="en-US" w:eastAsia="zh-CN"/>
              </w:rPr>
            </w:pPr>
            <w:r>
              <w:rPr>
                <w:rFonts w:hint="eastAsia" w:ascii="宋体" w:hAnsi="宋体" w:cs="Arial"/>
                <w:color w:val="000000"/>
                <w:sz w:val="24"/>
              </w:rPr>
              <w:t>服务期限</w:t>
            </w:r>
          </w:p>
        </w:tc>
      </w:tr>
      <w:tr w14:paraId="1BF4F4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38" w:hRule="atLeast"/>
          <w:jc w:val="center"/>
        </w:trPr>
        <w:tc>
          <w:tcPr>
            <w:tcW w:w="0" w:type="auto"/>
            <w:tcBorders>
              <w:top w:val="single" w:color="000000" w:sz="4" w:space="0"/>
              <w:left w:val="single" w:color="000000" w:sz="4" w:space="0"/>
              <w:bottom w:val="single" w:color="000000" w:sz="4" w:space="0"/>
              <w:right w:val="single" w:color="000000" w:sz="4" w:space="0"/>
            </w:tcBorders>
            <w:vAlign w:val="center"/>
          </w:tcPr>
          <w:p w14:paraId="3557BB7C">
            <w:pPr>
              <w:spacing w:line="360" w:lineRule="exact"/>
              <w:jc w:val="center"/>
              <w:rPr>
                <w:rFonts w:ascii="宋体" w:hAnsi="宋体" w:cs="Arial"/>
                <w:sz w:val="24"/>
              </w:rPr>
            </w:pPr>
            <w:r>
              <w:rPr>
                <w:rFonts w:hint="eastAsia" w:ascii="宋体" w:hAnsi="宋体" w:cs="Arial"/>
                <w:sz w:val="24"/>
              </w:rPr>
              <w:t>快递驿站</w:t>
            </w:r>
            <w:r>
              <w:rPr>
                <w:rFonts w:hint="eastAsia" w:ascii="宋体" w:hAnsi="宋体" w:cs="Arial"/>
                <w:sz w:val="24"/>
                <w:lang w:val="en-US" w:eastAsia="zh-CN"/>
              </w:rPr>
              <w:t>服务</w:t>
            </w:r>
            <w:r>
              <w:rPr>
                <w:rFonts w:hint="eastAsia" w:ascii="宋体" w:hAnsi="宋体" w:cs="Arial"/>
                <w:sz w:val="24"/>
              </w:rPr>
              <w:t>项目</w:t>
            </w:r>
          </w:p>
        </w:tc>
        <w:tc>
          <w:tcPr>
            <w:tcW w:w="0" w:type="auto"/>
            <w:tcBorders>
              <w:top w:val="single" w:color="000000" w:sz="4" w:space="0"/>
              <w:left w:val="single" w:color="000000" w:sz="4" w:space="0"/>
              <w:bottom w:val="single" w:color="000000" w:sz="4" w:space="0"/>
              <w:right w:val="single" w:color="000000" w:sz="4" w:space="0"/>
            </w:tcBorders>
            <w:vAlign w:val="center"/>
          </w:tcPr>
          <w:p w14:paraId="32C5C49A">
            <w:pPr>
              <w:spacing w:line="360" w:lineRule="exact"/>
              <w:jc w:val="center"/>
              <w:rPr>
                <w:rFonts w:ascii="宋体" w:hAnsi="宋体" w:cs="Arial"/>
                <w:sz w:val="24"/>
              </w:rPr>
            </w:pPr>
            <w:r>
              <w:rPr>
                <w:rFonts w:hint="eastAsia" w:ascii="宋体" w:hAnsi="宋体" w:cs="Arial"/>
                <w:sz w:val="24"/>
              </w:rPr>
              <w:t>见附件</w:t>
            </w:r>
          </w:p>
        </w:tc>
        <w:tc>
          <w:tcPr>
            <w:tcW w:w="0" w:type="auto"/>
            <w:tcBorders>
              <w:top w:val="single" w:color="000000" w:sz="4" w:space="0"/>
              <w:left w:val="single" w:color="000000" w:sz="4" w:space="0"/>
              <w:bottom w:val="single" w:color="000000" w:sz="4" w:space="0"/>
              <w:right w:val="single" w:color="000000" w:sz="4" w:space="0"/>
            </w:tcBorders>
            <w:vAlign w:val="center"/>
          </w:tcPr>
          <w:p w14:paraId="194F01AF">
            <w:pPr>
              <w:spacing w:line="360" w:lineRule="exact"/>
              <w:jc w:val="center"/>
              <w:rPr>
                <w:rFonts w:ascii="宋体" w:hAnsi="宋体" w:cs="Arial"/>
                <w:sz w:val="24"/>
              </w:rPr>
            </w:pPr>
            <w:r>
              <w:rPr>
                <w:rFonts w:hint="eastAsia" w:ascii="宋体" w:hAnsi="宋体" w:cs="Arial"/>
                <w:sz w:val="24"/>
              </w:rPr>
              <w:t>综合评分法</w:t>
            </w:r>
          </w:p>
        </w:tc>
        <w:tc>
          <w:tcPr>
            <w:tcW w:w="0" w:type="auto"/>
            <w:tcBorders>
              <w:top w:val="single" w:color="000000" w:sz="4" w:space="0"/>
              <w:left w:val="single" w:color="000000" w:sz="4" w:space="0"/>
              <w:bottom w:val="single" w:color="000000" w:sz="4" w:space="0"/>
              <w:right w:val="single" w:color="000000" w:sz="4" w:space="0"/>
            </w:tcBorders>
            <w:vAlign w:val="center"/>
          </w:tcPr>
          <w:p w14:paraId="558CF2D0">
            <w:pPr>
              <w:spacing w:line="360" w:lineRule="exact"/>
              <w:jc w:val="center"/>
              <w:rPr>
                <w:rFonts w:hint="default" w:ascii="宋体" w:hAnsi="宋体" w:eastAsia="宋体" w:cs="Arial"/>
                <w:sz w:val="24"/>
                <w:lang w:val="en-US" w:eastAsia="zh-CN"/>
              </w:rPr>
            </w:pPr>
            <w:r>
              <w:rPr>
                <w:rFonts w:hint="eastAsia" w:ascii="宋体" w:hAnsi="宋体" w:cs="Arial"/>
                <w:sz w:val="24"/>
                <w:lang w:val="en-US" w:eastAsia="zh-CN"/>
              </w:rPr>
              <w:t>1200</w:t>
            </w:r>
          </w:p>
        </w:tc>
        <w:tc>
          <w:tcPr>
            <w:tcW w:w="0" w:type="auto"/>
            <w:tcBorders>
              <w:top w:val="single" w:color="000000" w:sz="4" w:space="0"/>
              <w:left w:val="single" w:color="000000" w:sz="4" w:space="0"/>
              <w:bottom w:val="single" w:color="000000" w:sz="4" w:space="0"/>
              <w:right w:val="single" w:color="000000" w:sz="4" w:space="0"/>
            </w:tcBorders>
            <w:vAlign w:val="center"/>
          </w:tcPr>
          <w:p w14:paraId="5308DCA2">
            <w:pPr>
              <w:spacing w:line="360" w:lineRule="exact"/>
              <w:jc w:val="center"/>
              <w:rPr>
                <w:rFonts w:hint="default" w:ascii="宋体" w:hAnsi="宋体" w:eastAsia="宋体" w:cs="Arial"/>
                <w:sz w:val="24"/>
                <w:lang w:val="en-US" w:eastAsia="zh-CN"/>
              </w:rPr>
            </w:pPr>
            <w:r>
              <w:rPr>
                <w:rFonts w:hint="eastAsia" w:ascii="宋体" w:hAnsi="宋体" w:cs="Arial"/>
                <w:sz w:val="24"/>
              </w:rPr>
              <w:t>3年</w:t>
            </w:r>
          </w:p>
        </w:tc>
      </w:tr>
      <w:tr w14:paraId="25407B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84" w:hRule="atLeast"/>
          <w:jc w:val="center"/>
        </w:trPr>
        <w:tc>
          <w:tcPr>
            <w:tcW w:w="0" w:type="auto"/>
            <w:gridSpan w:val="5"/>
            <w:tcBorders>
              <w:top w:val="single" w:color="000000" w:sz="4" w:space="0"/>
              <w:left w:val="single" w:color="000000" w:sz="4" w:space="0"/>
              <w:bottom w:val="single" w:color="000000" w:sz="4" w:space="0"/>
              <w:right w:val="single" w:color="000000" w:sz="4" w:space="0"/>
            </w:tcBorders>
            <w:vAlign w:val="center"/>
          </w:tcPr>
          <w:p w14:paraId="401A799C">
            <w:pPr>
              <w:spacing w:line="360" w:lineRule="exact"/>
              <w:jc w:val="left"/>
              <w:rPr>
                <w:rFonts w:ascii="宋体" w:hAnsi="宋体" w:cs="Arial"/>
                <w:sz w:val="24"/>
              </w:rPr>
            </w:pPr>
            <w:r>
              <w:rPr>
                <w:rFonts w:hint="eastAsia" w:ascii="宋体" w:hAnsi="宋体" w:cs="Arial"/>
                <w:sz w:val="24"/>
              </w:rPr>
              <w:t>备注：</w:t>
            </w:r>
          </w:p>
          <w:p w14:paraId="107E31D0">
            <w:pPr>
              <w:numPr>
                <w:ilvl w:val="0"/>
                <w:numId w:val="9"/>
              </w:numPr>
              <w:spacing w:line="360" w:lineRule="exact"/>
              <w:ind w:left="425" w:leftChars="0" w:hanging="425" w:firstLineChars="0"/>
              <w:jc w:val="left"/>
              <w:rPr>
                <w:rFonts w:hint="eastAsia" w:ascii="宋体" w:hAnsi="宋体" w:cs="Arial"/>
                <w:sz w:val="24"/>
              </w:rPr>
            </w:pPr>
            <w:r>
              <w:rPr>
                <w:rFonts w:hint="eastAsia" w:ascii="宋体" w:hAnsi="宋体" w:cs="Arial"/>
                <w:sz w:val="24"/>
              </w:rPr>
              <w:t>报价涵盖管理费电费等综合费用，1年1付，中标人在合同签订后10个工作日内，上交第一年度综合管理费，以此类推；</w:t>
            </w:r>
          </w:p>
          <w:p w14:paraId="4066F55E">
            <w:pPr>
              <w:numPr>
                <w:ilvl w:val="0"/>
                <w:numId w:val="9"/>
              </w:numPr>
              <w:spacing w:line="360" w:lineRule="exact"/>
              <w:ind w:left="425" w:leftChars="0" w:hanging="425" w:firstLineChars="0"/>
              <w:jc w:val="left"/>
              <w:rPr>
                <w:rFonts w:hint="eastAsia" w:ascii="宋体" w:hAnsi="宋体" w:cs="Arial"/>
                <w:sz w:val="24"/>
              </w:rPr>
            </w:pPr>
            <w:r>
              <w:rPr>
                <w:rFonts w:ascii="宋体" w:hAnsi="宋体" w:eastAsia="宋体" w:cs="宋体"/>
                <w:sz w:val="24"/>
                <w:szCs w:val="24"/>
              </w:rPr>
              <w:t>合作模式：由中标服务</w:t>
            </w:r>
            <w:r>
              <w:rPr>
                <w:rFonts w:ascii="宋体" w:hAnsi="宋体" w:eastAsia="宋体" w:cs="宋体"/>
                <w:b w:val="0"/>
                <w:bCs w:val="0"/>
                <w:sz w:val="24"/>
                <w:szCs w:val="24"/>
              </w:rPr>
              <w:t>商</w:t>
            </w:r>
            <w:r>
              <w:rPr>
                <w:rStyle w:val="22"/>
                <w:rFonts w:ascii="宋体" w:hAnsi="宋体" w:eastAsia="宋体" w:cs="宋体"/>
                <w:b w:val="0"/>
                <w:bCs w:val="0"/>
                <w:color w:val="000000"/>
                <w:sz w:val="24"/>
                <w:szCs w:val="24"/>
              </w:rPr>
              <w:t>全额投资、自主经营、自负盈亏</w:t>
            </w:r>
            <w:r>
              <w:rPr>
                <w:rFonts w:ascii="宋体" w:hAnsi="宋体" w:eastAsia="宋体" w:cs="宋体"/>
                <w:b w:val="0"/>
                <w:bCs w:val="0"/>
                <w:sz w:val="24"/>
                <w:szCs w:val="24"/>
              </w:rPr>
              <w:t>；医院提供场地、水电接入、秩序协调等支持，并收取相应</w:t>
            </w:r>
            <w:r>
              <w:rPr>
                <w:rStyle w:val="22"/>
                <w:rFonts w:ascii="宋体" w:hAnsi="宋体" w:eastAsia="宋体" w:cs="宋体"/>
                <w:b w:val="0"/>
                <w:bCs w:val="0"/>
                <w:color w:val="000000"/>
                <w:sz w:val="24"/>
                <w:szCs w:val="24"/>
              </w:rPr>
              <w:t>综合管理服务费</w:t>
            </w:r>
            <w:r>
              <w:rPr>
                <w:rFonts w:ascii="宋体" w:hAnsi="宋体" w:eastAsia="宋体" w:cs="宋体"/>
                <w:b w:val="0"/>
                <w:bCs w:val="0"/>
                <w:sz w:val="24"/>
                <w:szCs w:val="24"/>
              </w:rPr>
              <w:t>。</w:t>
            </w:r>
          </w:p>
          <w:p w14:paraId="07C4D5F9">
            <w:pPr>
              <w:numPr>
                <w:ilvl w:val="0"/>
                <w:numId w:val="9"/>
              </w:numPr>
              <w:spacing w:line="360" w:lineRule="exact"/>
              <w:ind w:left="425" w:leftChars="0" w:hanging="425" w:firstLineChars="0"/>
              <w:jc w:val="left"/>
              <w:rPr>
                <w:rFonts w:hint="eastAsia" w:ascii="宋体" w:hAnsi="宋体" w:cs="Arial"/>
                <w:sz w:val="24"/>
              </w:rPr>
            </w:pPr>
            <w:r>
              <w:rPr>
                <w:rFonts w:ascii="宋体" w:hAnsi="宋体" w:eastAsia="宋体" w:cs="宋体"/>
                <w:sz w:val="24"/>
                <w:szCs w:val="24"/>
              </w:rPr>
              <w:t>提供指定区域用于开展服务</w:t>
            </w:r>
            <w:r>
              <w:rPr>
                <w:rFonts w:hint="eastAsia" w:ascii="宋体" w:hAnsi="宋体" w:eastAsia="宋体" w:cs="宋体"/>
                <w:sz w:val="24"/>
                <w:szCs w:val="24"/>
                <w:lang w:eastAsia="zh-CN"/>
              </w:rPr>
              <w:t>。</w:t>
            </w:r>
          </w:p>
        </w:tc>
      </w:tr>
    </w:tbl>
    <w:p w14:paraId="6E65C43F">
      <w:pPr>
        <w:spacing w:line="400" w:lineRule="exact"/>
        <w:rPr>
          <w:rFonts w:ascii="宋体" w:hAnsi="宋体" w:cs="Times New Roman"/>
          <w:sz w:val="24"/>
        </w:rPr>
      </w:pPr>
    </w:p>
    <w:p w14:paraId="5743A12B"/>
    <w:p w14:paraId="2658BBEC"/>
    <w:p w14:paraId="447A2434"/>
    <w:p w14:paraId="74DEBE54"/>
    <w:p w14:paraId="36DA9712"/>
    <w:p w14:paraId="6C888D04"/>
    <w:p w14:paraId="0A7567B7"/>
    <w:p w14:paraId="162ED7A7"/>
    <w:p w14:paraId="188ED2CC">
      <w:pPr>
        <w:pStyle w:val="11"/>
      </w:pPr>
    </w:p>
    <w:p w14:paraId="63AF29B2">
      <w:pPr>
        <w:pStyle w:val="11"/>
      </w:pPr>
    </w:p>
    <w:p w14:paraId="1E3CFD05">
      <w:pPr>
        <w:pStyle w:val="11"/>
      </w:pPr>
    </w:p>
    <w:p w14:paraId="32581CEB">
      <w:pPr>
        <w:pStyle w:val="11"/>
      </w:pPr>
    </w:p>
    <w:p w14:paraId="5C110115">
      <w:pPr>
        <w:pStyle w:val="11"/>
      </w:pPr>
    </w:p>
    <w:p w14:paraId="29EBD118">
      <w:pPr>
        <w:pStyle w:val="11"/>
      </w:pPr>
    </w:p>
    <w:p w14:paraId="68B50B00">
      <w:pPr>
        <w:pStyle w:val="11"/>
      </w:pPr>
    </w:p>
    <w:p w14:paraId="3B0C927C">
      <w:pPr>
        <w:pStyle w:val="11"/>
      </w:pPr>
    </w:p>
    <w:p w14:paraId="1EEC39E3">
      <w:pPr>
        <w:pStyle w:val="11"/>
      </w:pPr>
    </w:p>
    <w:p w14:paraId="1766A95D">
      <w:pPr>
        <w:pStyle w:val="11"/>
      </w:pPr>
    </w:p>
    <w:p w14:paraId="455566BA">
      <w:pPr>
        <w:pStyle w:val="11"/>
      </w:pPr>
    </w:p>
    <w:p w14:paraId="0C8F9209">
      <w:pPr>
        <w:pStyle w:val="11"/>
      </w:pPr>
    </w:p>
    <w:p w14:paraId="765F9308"/>
    <w:p w14:paraId="6E619411">
      <w:pPr>
        <w:pStyle w:val="11"/>
      </w:pPr>
    </w:p>
    <w:p w14:paraId="4C5B06E5">
      <w:pPr>
        <w:jc w:val="left"/>
        <w:rPr>
          <w:rFonts w:hint="eastAsia"/>
          <w:b/>
          <w:sz w:val="28"/>
          <w:szCs w:val="28"/>
        </w:rPr>
      </w:pPr>
    </w:p>
    <w:p w14:paraId="10F61427">
      <w:pPr>
        <w:jc w:val="left"/>
        <w:rPr>
          <w:b/>
          <w:sz w:val="28"/>
          <w:szCs w:val="28"/>
        </w:rPr>
      </w:pPr>
      <w:r>
        <w:rPr>
          <w:rFonts w:hint="eastAsia"/>
          <w:b/>
          <w:sz w:val="28"/>
          <w:szCs w:val="28"/>
        </w:rPr>
        <w:t>附件：</w:t>
      </w:r>
    </w:p>
    <w:p w14:paraId="00970D11">
      <w:pPr>
        <w:widowControl/>
        <w:spacing w:line="360" w:lineRule="atLeast"/>
        <w:jc w:val="left"/>
        <w:rPr>
          <w:rFonts w:ascii="宋体" w:hAnsi="宋体" w:cs="Arial"/>
          <w:sz w:val="24"/>
        </w:rPr>
      </w:pPr>
      <w:r>
        <w:rPr>
          <w:rFonts w:hint="eastAsia" w:ascii="宋体" w:hAnsi="宋体" w:cs="Arial"/>
          <w:sz w:val="24"/>
        </w:rPr>
        <w:t>一、服务内容及要求</w:t>
      </w:r>
    </w:p>
    <w:p w14:paraId="15CD46F2">
      <w:pPr>
        <w:pageBreakBefore w:val="0"/>
        <w:numPr>
          <w:ilvl w:val="0"/>
          <w:numId w:val="10"/>
        </w:numPr>
        <w:kinsoku/>
        <w:wordWrap/>
        <w:overflowPunct/>
        <w:topLinePunct w:val="0"/>
        <w:autoSpaceDE/>
        <w:autoSpaceDN/>
        <w:bidi w:val="0"/>
        <w:snapToGrid/>
        <w:spacing w:line="480" w:lineRule="exact"/>
        <w:ind w:left="425" w:leftChars="0" w:hanging="425" w:firstLineChars="0"/>
        <w:textAlignment w:val="auto"/>
        <w:rPr>
          <w:rFonts w:hint="eastAsia" w:ascii="宋体" w:hAnsi="宋体" w:eastAsia="宋体" w:cs="宋体"/>
          <w:color w:val="auto"/>
          <w:sz w:val="24"/>
          <w:szCs w:val="24"/>
          <w:highlight w:val="none"/>
          <w:lang w:val="en-US" w:eastAsia="zh-CN"/>
        </w:rPr>
      </w:pPr>
      <w:bookmarkStart w:id="0" w:name="_Toc9163"/>
      <w:bookmarkStart w:id="1" w:name="_Toc20113"/>
      <w:r>
        <w:rPr>
          <w:rFonts w:ascii="宋体" w:hAnsi="宋体" w:eastAsia="宋体" w:cs="宋体"/>
          <w:sz w:val="24"/>
          <w:szCs w:val="24"/>
        </w:rPr>
        <w:t>本项目主要为院内提供快递代收、寄存、分拣、寄递等快递综合便民服务。合作期间，采购人可根据院区便民服务规划及实际运营需要，后续适时增设取餐柜、智能寄存柜等同类便民智能设施设备，中标人须无条件配合完成对接、运营、日常维护及现场管理，相关配套服务不再另行增加费用，中标人须完全服从采购人统一管理要求。</w:t>
      </w:r>
    </w:p>
    <w:p w14:paraId="783704F4">
      <w:pPr>
        <w:pageBreakBefore w:val="0"/>
        <w:numPr>
          <w:ilvl w:val="0"/>
          <w:numId w:val="10"/>
        </w:numPr>
        <w:kinsoku/>
        <w:wordWrap/>
        <w:overflowPunct/>
        <w:topLinePunct w:val="0"/>
        <w:autoSpaceDE/>
        <w:autoSpaceDN/>
        <w:bidi w:val="0"/>
        <w:snapToGrid/>
        <w:spacing w:line="480" w:lineRule="exact"/>
        <w:ind w:left="425" w:leftChars="0" w:hanging="425"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不影响采购人正常开展医疗业务。</w:t>
      </w:r>
    </w:p>
    <w:p w14:paraId="5ECDDB26">
      <w:pPr>
        <w:pageBreakBefore w:val="0"/>
        <w:numPr>
          <w:ilvl w:val="0"/>
          <w:numId w:val="10"/>
        </w:numPr>
        <w:kinsoku/>
        <w:wordWrap/>
        <w:overflowPunct/>
        <w:topLinePunct w:val="0"/>
        <w:autoSpaceDE/>
        <w:autoSpaceDN/>
        <w:bidi w:val="0"/>
        <w:snapToGrid/>
        <w:spacing w:line="480" w:lineRule="exact"/>
        <w:ind w:left="425" w:leftChars="0" w:hanging="425"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具备独立承担经营活动中所产生的债权债务以及工商、物价、税收、安全等方面的法律责任。</w:t>
      </w:r>
    </w:p>
    <w:p w14:paraId="591225D0">
      <w:pPr>
        <w:pageBreakBefore w:val="0"/>
        <w:numPr>
          <w:ilvl w:val="0"/>
          <w:numId w:val="10"/>
        </w:numPr>
        <w:kinsoku/>
        <w:wordWrap/>
        <w:overflowPunct/>
        <w:topLinePunct w:val="0"/>
        <w:autoSpaceDE/>
        <w:autoSpaceDN/>
        <w:bidi w:val="0"/>
        <w:snapToGrid/>
        <w:spacing w:line="480" w:lineRule="exact"/>
        <w:ind w:left="425" w:leftChars="0" w:hanging="425"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必须遵守国家相关法律法规，遵守采购</w:t>
      </w:r>
      <w:bookmarkStart w:id="2" w:name="_GoBack"/>
      <w:bookmarkEnd w:id="2"/>
      <w:r>
        <w:rPr>
          <w:rFonts w:hint="eastAsia" w:ascii="宋体" w:hAnsi="宋体" w:eastAsia="宋体" w:cs="宋体"/>
          <w:color w:val="auto"/>
          <w:sz w:val="24"/>
          <w:szCs w:val="24"/>
          <w:highlight w:val="none"/>
          <w:lang w:val="en-US" w:eastAsia="zh-CN"/>
        </w:rPr>
        <w:t>人相关规章制度的有关规定。在院内的经营等活动服从采购人管理部门的管理。</w:t>
      </w:r>
    </w:p>
    <w:p w14:paraId="4526AF49">
      <w:pPr>
        <w:pageBreakBefore w:val="0"/>
        <w:numPr>
          <w:ilvl w:val="0"/>
          <w:numId w:val="10"/>
        </w:numPr>
        <w:kinsoku/>
        <w:wordWrap/>
        <w:overflowPunct/>
        <w:topLinePunct w:val="0"/>
        <w:autoSpaceDE/>
        <w:autoSpaceDN/>
        <w:bidi w:val="0"/>
        <w:snapToGrid/>
        <w:spacing w:line="480" w:lineRule="exact"/>
        <w:ind w:left="425" w:leftChars="0" w:hanging="425"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服务网点的监控、电路、装修均由</w:t>
      </w:r>
      <w:r>
        <w:rPr>
          <w:rFonts w:hint="eastAsia" w:ascii="宋体" w:hAnsi="宋体" w:cs="宋体"/>
          <w:color w:val="auto"/>
          <w:sz w:val="24"/>
          <w:szCs w:val="24"/>
          <w:highlight w:val="none"/>
          <w:lang w:val="en-US" w:eastAsia="zh-CN"/>
        </w:rPr>
        <w:t>中标人</w:t>
      </w:r>
      <w:r>
        <w:rPr>
          <w:rFonts w:hint="eastAsia" w:ascii="宋体" w:hAnsi="宋体" w:eastAsia="宋体" w:cs="宋体"/>
          <w:color w:val="auto"/>
          <w:sz w:val="24"/>
          <w:szCs w:val="24"/>
          <w:highlight w:val="none"/>
          <w:lang w:val="en-US" w:eastAsia="zh-CN"/>
        </w:rPr>
        <w:t>负责，规划设计方案应报采购人审核同意后才能组织施工，不得随意拆建、改建或破坏改变现有的房屋主体结构、外墙以及管道设施，场地规划必须符合服务方便，操作流程规范，消防安全符合规范要求。设备、设施由</w:t>
      </w:r>
      <w:r>
        <w:rPr>
          <w:rFonts w:hint="eastAsia" w:ascii="宋体" w:hAnsi="宋体" w:cs="宋体"/>
          <w:color w:val="auto"/>
          <w:sz w:val="24"/>
          <w:szCs w:val="24"/>
          <w:highlight w:val="none"/>
          <w:lang w:val="en-US" w:eastAsia="zh-CN"/>
        </w:rPr>
        <w:t>中标人</w:t>
      </w:r>
      <w:r>
        <w:rPr>
          <w:rFonts w:hint="eastAsia" w:ascii="宋体" w:hAnsi="宋体" w:eastAsia="宋体" w:cs="宋体"/>
          <w:color w:val="auto"/>
          <w:sz w:val="24"/>
          <w:szCs w:val="24"/>
          <w:highlight w:val="none"/>
          <w:lang w:val="en-US" w:eastAsia="zh-CN"/>
        </w:rPr>
        <w:t>自行配置。合同期满后</w:t>
      </w:r>
      <w:r>
        <w:rPr>
          <w:rFonts w:hint="eastAsia" w:ascii="宋体" w:hAnsi="宋体" w:cs="宋体"/>
          <w:color w:val="auto"/>
          <w:sz w:val="24"/>
          <w:szCs w:val="24"/>
          <w:highlight w:val="none"/>
          <w:lang w:val="en-US" w:eastAsia="zh-CN"/>
        </w:rPr>
        <w:t>中标人</w:t>
      </w:r>
      <w:r>
        <w:rPr>
          <w:rFonts w:hint="eastAsia" w:ascii="宋体" w:hAnsi="宋体" w:eastAsia="宋体" w:cs="宋体"/>
          <w:color w:val="auto"/>
          <w:sz w:val="24"/>
          <w:szCs w:val="24"/>
          <w:highlight w:val="none"/>
          <w:lang w:val="en-US" w:eastAsia="zh-CN"/>
        </w:rPr>
        <w:t>的装修即与</w:t>
      </w:r>
      <w:r>
        <w:rPr>
          <w:rFonts w:hint="eastAsia" w:ascii="宋体" w:hAnsi="宋体" w:cs="宋体"/>
          <w:color w:val="auto"/>
          <w:sz w:val="24"/>
          <w:szCs w:val="24"/>
          <w:highlight w:val="none"/>
          <w:lang w:val="en-US" w:eastAsia="zh-CN"/>
        </w:rPr>
        <w:t>中标人</w:t>
      </w:r>
      <w:r>
        <w:rPr>
          <w:rFonts w:hint="eastAsia" w:ascii="宋体" w:hAnsi="宋体" w:eastAsia="宋体" w:cs="宋体"/>
          <w:color w:val="auto"/>
          <w:sz w:val="24"/>
          <w:szCs w:val="24"/>
          <w:highlight w:val="none"/>
          <w:lang w:val="en-US" w:eastAsia="zh-CN"/>
        </w:rPr>
        <w:t>无关，不得向采购人提出任何费用补偿要求。若采购人要求拆除的，</w:t>
      </w:r>
      <w:r>
        <w:rPr>
          <w:rFonts w:hint="eastAsia" w:ascii="宋体" w:hAnsi="宋体" w:cs="宋体"/>
          <w:color w:val="auto"/>
          <w:sz w:val="24"/>
          <w:szCs w:val="24"/>
          <w:highlight w:val="none"/>
          <w:lang w:val="en-US" w:eastAsia="zh-CN"/>
        </w:rPr>
        <w:t>中标人</w:t>
      </w:r>
      <w:r>
        <w:rPr>
          <w:rFonts w:hint="eastAsia" w:ascii="宋体" w:hAnsi="宋体" w:eastAsia="宋体" w:cs="宋体"/>
          <w:color w:val="auto"/>
          <w:sz w:val="24"/>
          <w:szCs w:val="24"/>
          <w:highlight w:val="none"/>
          <w:lang w:val="en-US" w:eastAsia="zh-CN"/>
        </w:rPr>
        <w:t>应无条件恢复原貌。</w:t>
      </w:r>
    </w:p>
    <w:p w14:paraId="37832963">
      <w:pPr>
        <w:pageBreakBefore w:val="0"/>
        <w:numPr>
          <w:ilvl w:val="0"/>
          <w:numId w:val="10"/>
        </w:numPr>
        <w:kinsoku/>
        <w:wordWrap/>
        <w:overflowPunct/>
        <w:topLinePunct w:val="0"/>
        <w:autoSpaceDE/>
        <w:autoSpaceDN/>
        <w:bidi w:val="0"/>
        <w:snapToGrid/>
        <w:spacing w:line="480" w:lineRule="exact"/>
        <w:ind w:left="425" w:leftChars="0" w:hanging="425" w:firstLineChars="0"/>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快递驿站</w:t>
      </w:r>
      <w:r>
        <w:rPr>
          <w:rFonts w:hint="eastAsia" w:ascii="宋体" w:hAnsi="宋体" w:eastAsia="宋体" w:cs="宋体"/>
          <w:color w:val="auto"/>
          <w:sz w:val="24"/>
          <w:szCs w:val="24"/>
          <w:highlight w:val="none"/>
          <w:lang w:val="en-US" w:eastAsia="zh-CN"/>
        </w:rPr>
        <w:t>范围内的水电管线、灯具、插座、开关、龙头阀门、门窗玻璃、墙面等设施设备均由</w:t>
      </w:r>
      <w:r>
        <w:rPr>
          <w:rFonts w:hint="eastAsia" w:ascii="宋体" w:hAnsi="宋体" w:cs="宋体"/>
          <w:color w:val="auto"/>
          <w:sz w:val="24"/>
          <w:szCs w:val="24"/>
          <w:highlight w:val="none"/>
          <w:lang w:val="en-US" w:eastAsia="zh-CN"/>
        </w:rPr>
        <w:t>中标人</w:t>
      </w:r>
      <w:r>
        <w:rPr>
          <w:rFonts w:hint="eastAsia" w:ascii="宋体" w:hAnsi="宋体" w:eastAsia="宋体" w:cs="宋体"/>
          <w:color w:val="auto"/>
          <w:sz w:val="24"/>
          <w:szCs w:val="24"/>
          <w:highlight w:val="none"/>
          <w:lang w:val="en-US" w:eastAsia="zh-CN"/>
        </w:rPr>
        <w:t>使用及维修。</w:t>
      </w:r>
      <w:r>
        <w:rPr>
          <w:rFonts w:hint="eastAsia" w:ascii="宋体" w:hAnsi="宋体" w:cs="宋体"/>
          <w:color w:val="auto"/>
          <w:sz w:val="24"/>
          <w:szCs w:val="24"/>
          <w:highlight w:val="none"/>
          <w:lang w:val="en-US" w:eastAsia="zh-CN"/>
        </w:rPr>
        <w:t>中标人</w:t>
      </w:r>
      <w:r>
        <w:rPr>
          <w:rFonts w:hint="eastAsia" w:ascii="宋体" w:hAnsi="宋体" w:eastAsia="宋体" w:cs="宋体"/>
          <w:color w:val="auto"/>
          <w:sz w:val="24"/>
          <w:szCs w:val="24"/>
          <w:highlight w:val="none"/>
          <w:lang w:val="en-US" w:eastAsia="zh-CN"/>
        </w:rPr>
        <w:t>在采购人提供场地表面进行非破坏性装修装饰，不得影响房屋主体，装修、使用过程中产生的任何不可修复性的破坏按照市场价赔偿，如有造成危害的承担应相应后果。</w:t>
      </w:r>
      <w:r>
        <w:rPr>
          <w:rFonts w:hint="eastAsia" w:ascii="宋体" w:hAnsi="宋体" w:cs="宋体"/>
          <w:color w:val="auto"/>
          <w:sz w:val="24"/>
          <w:szCs w:val="24"/>
          <w:highlight w:val="none"/>
          <w:lang w:val="en-US" w:eastAsia="zh-CN"/>
        </w:rPr>
        <w:t>中标人</w:t>
      </w:r>
      <w:r>
        <w:rPr>
          <w:rFonts w:hint="eastAsia" w:ascii="宋体" w:hAnsi="宋体" w:eastAsia="宋体" w:cs="宋体"/>
          <w:color w:val="auto"/>
          <w:sz w:val="24"/>
          <w:szCs w:val="24"/>
          <w:highlight w:val="none"/>
          <w:lang w:val="en-US" w:eastAsia="zh-CN"/>
        </w:rPr>
        <w:t>应承担防火、防盗等各责任，做好门前“三包”。如发生意外，全部责任由</w:t>
      </w:r>
      <w:r>
        <w:rPr>
          <w:rFonts w:hint="eastAsia" w:ascii="宋体" w:hAnsi="宋体" w:cs="宋体"/>
          <w:color w:val="auto"/>
          <w:sz w:val="24"/>
          <w:szCs w:val="24"/>
          <w:highlight w:val="none"/>
          <w:lang w:val="en-US" w:eastAsia="zh-CN"/>
        </w:rPr>
        <w:t>中标人</w:t>
      </w:r>
      <w:r>
        <w:rPr>
          <w:rFonts w:hint="eastAsia" w:ascii="宋体" w:hAnsi="宋体" w:eastAsia="宋体" w:cs="宋体"/>
          <w:color w:val="auto"/>
          <w:sz w:val="24"/>
          <w:szCs w:val="24"/>
          <w:highlight w:val="none"/>
          <w:lang w:val="en-US" w:eastAsia="zh-CN"/>
        </w:rPr>
        <w:t>承担。</w:t>
      </w:r>
    </w:p>
    <w:p w14:paraId="7BDA5B9F">
      <w:pPr>
        <w:pageBreakBefore w:val="0"/>
        <w:numPr>
          <w:ilvl w:val="0"/>
          <w:numId w:val="10"/>
        </w:numPr>
        <w:kinsoku/>
        <w:wordWrap/>
        <w:overflowPunct/>
        <w:topLinePunct w:val="0"/>
        <w:autoSpaceDE/>
        <w:autoSpaceDN/>
        <w:bidi w:val="0"/>
        <w:snapToGrid/>
        <w:spacing w:line="480" w:lineRule="exact"/>
        <w:ind w:left="425" w:leftChars="0" w:hanging="425" w:firstLineChars="0"/>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中标人</w:t>
      </w:r>
      <w:r>
        <w:rPr>
          <w:rFonts w:hint="eastAsia" w:ascii="宋体" w:hAnsi="宋体" w:eastAsia="宋体" w:cs="宋体"/>
          <w:color w:val="auto"/>
          <w:sz w:val="24"/>
          <w:szCs w:val="24"/>
          <w:highlight w:val="none"/>
          <w:lang w:val="en-US" w:eastAsia="zh-CN"/>
        </w:rPr>
        <w:t>义务：</w:t>
      </w:r>
    </w:p>
    <w:p w14:paraId="4F025D56">
      <w:pPr>
        <w:pageBreakBefore w:val="0"/>
        <w:numPr>
          <w:ilvl w:val="0"/>
          <w:numId w:val="11"/>
        </w:numPr>
        <w:kinsoku/>
        <w:wordWrap/>
        <w:overflowPunct/>
        <w:topLinePunct w:val="0"/>
        <w:autoSpaceDE/>
        <w:autoSpaceDN/>
        <w:bidi w:val="0"/>
        <w:snapToGrid/>
        <w:spacing w:line="480" w:lineRule="exact"/>
        <w:ind w:left="425" w:leftChars="0" w:hanging="425" w:firstLineChars="0"/>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中标人</w:t>
      </w:r>
      <w:r>
        <w:rPr>
          <w:rFonts w:hint="eastAsia" w:ascii="宋体" w:hAnsi="宋体" w:eastAsia="宋体" w:cs="宋体"/>
          <w:color w:val="auto"/>
          <w:sz w:val="24"/>
          <w:szCs w:val="24"/>
          <w:highlight w:val="none"/>
          <w:lang w:val="zh-CN" w:eastAsia="zh-CN"/>
        </w:rPr>
        <w:t>在开始运营30个工作日内办理快递网点相关手续及备案。</w:t>
      </w:r>
    </w:p>
    <w:p w14:paraId="25B15CC7">
      <w:pPr>
        <w:pageBreakBefore w:val="0"/>
        <w:numPr>
          <w:ilvl w:val="0"/>
          <w:numId w:val="11"/>
        </w:numPr>
        <w:kinsoku/>
        <w:wordWrap/>
        <w:overflowPunct/>
        <w:topLinePunct w:val="0"/>
        <w:autoSpaceDE/>
        <w:autoSpaceDN/>
        <w:bidi w:val="0"/>
        <w:snapToGrid/>
        <w:spacing w:line="480" w:lineRule="exact"/>
        <w:ind w:left="425" w:leftChars="0" w:hanging="425" w:firstLineChars="0"/>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中标人</w:t>
      </w:r>
      <w:r>
        <w:rPr>
          <w:rFonts w:hint="eastAsia" w:ascii="宋体" w:hAnsi="宋体" w:eastAsia="宋体" w:cs="宋体"/>
          <w:color w:val="auto"/>
          <w:sz w:val="24"/>
          <w:szCs w:val="24"/>
          <w:highlight w:val="none"/>
          <w:lang w:val="en-US" w:eastAsia="zh-CN"/>
        </w:rPr>
        <w:t>需提交</w:t>
      </w:r>
      <w:r>
        <w:rPr>
          <w:rFonts w:hint="eastAsia" w:ascii="宋体" w:hAnsi="宋体" w:cs="宋体"/>
          <w:color w:val="auto"/>
          <w:sz w:val="24"/>
          <w:szCs w:val="24"/>
          <w:highlight w:val="none"/>
          <w:lang w:val="en-US" w:eastAsia="zh-CN"/>
        </w:rPr>
        <w:t>包含但不限于</w:t>
      </w:r>
      <w:r>
        <w:rPr>
          <w:rFonts w:hint="eastAsia" w:ascii="宋体" w:hAnsi="宋体" w:eastAsia="宋体" w:cs="宋体"/>
          <w:color w:val="auto"/>
          <w:sz w:val="24"/>
          <w:szCs w:val="24"/>
          <w:highlight w:val="none"/>
          <w:lang w:val="zh-CN" w:eastAsia="zh-CN"/>
        </w:rPr>
        <w:t>运输过程、消防、防雷、防爆、防盗等安全承诺书，如发生安全事故</w:t>
      </w:r>
      <w:r>
        <w:rPr>
          <w:rFonts w:hint="eastAsia" w:ascii="宋体" w:hAnsi="宋体" w:cs="宋体"/>
          <w:color w:val="auto"/>
          <w:sz w:val="24"/>
          <w:szCs w:val="24"/>
          <w:highlight w:val="none"/>
          <w:lang w:val="zh-CN" w:eastAsia="zh-CN"/>
        </w:rPr>
        <w:t>中标人</w:t>
      </w:r>
      <w:r>
        <w:rPr>
          <w:rFonts w:hint="eastAsia" w:ascii="宋体" w:hAnsi="宋体" w:eastAsia="宋体" w:cs="宋体"/>
          <w:color w:val="auto"/>
          <w:sz w:val="24"/>
          <w:szCs w:val="24"/>
          <w:highlight w:val="none"/>
          <w:lang w:val="zh-CN" w:eastAsia="zh-CN"/>
        </w:rPr>
        <w:t>自行负责，采购人不承担连带责任。</w:t>
      </w:r>
    </w:p>
    <w:p w14:paraId="51724E2C">
      <w:pPr>
        <w:pageBreakBefore w:val="0"/>
        <w:numPr>
          <w:ilvl w:val="0"/>
          <w:numId w:val="11"/>
        </w:numPr>
        <w:kinsoku/>
        <w:wordWrap/>
        <w:overflowPunct/>
        <w:topLinePunct w:val="0"/>
        <w:autoSpaceDE/>
        <w:autoSpaceDN/>
        <w:bidi w:val="0"/>
        <w:snapToGrid/>
        <w:spacing w:line="480" w:lineRule="exact"/>
        <w:ind w:left="425" w:leftChars="0" w:hanging="425" w:firstLineChars="0"/>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中标人</w:t>
      </w:r>
      <w:r>
        <w:rPr>
          <w:rFonts w:hint="eastAsia" w:ascii="宋体" w:hAnsi="宋体" w:eastAsia="宋体" w:cs="宋体"/>
          <w:color w:val="auto"/>
          <w:sz w:val="24"/>
          <w:szCs w:val="24"/>
          <w:highlight w:val="none"/>
          <w:lang w:val="en-US" w:eastAsia="zh-CN"/>
        </w:rPr>
        <w:t>在日常的运行中必需根据</w:t>
      </w:r>
      <w:r>
        <w:rPr>
          <w:rFonts w:hint="eastAsia" w:ascii="宋体" w:hAnsi="宋体" w:cs="宋体"/>
          <w:color w:val="auto"/>
          <w:sz w:val="24"/>
          <w:szCs w:val="24"/>
          <w:highlight w:val="none"/>
          <w:lang w:val="en-US" w:eastAsia="zh-CN"/>
        </w:rPr>
        <w:t>相关的快递实施标准实施</w:t>
      </w:r>
      <w:r>
        <w:rPr>
          <w:rFonts w:hint="eastAsia" w:ascii="宋体" w:hAnsi="宋体" w:eastAsia="宋体" w:cs="宋体"/>
          <w:color w:val="auto"/>
          <w:sz w:val="24"/>
          <w:szCs w:val="24"/>
          <w:highlight w:val="none"/>
          <w:lang w:val="en-US" w:eastAsia="zh-CN"/>
        </w:rPr>
        <w:t>。</w:t>
      </w:r>
    </w:p>
    <w:p w14:paraId="6A79FB4D">
      <w:pPr>
        <w:pageBreakBefore w:val="0"/>
        <w:numPr>
          <w:ilvl w:val="0"/>
          <w:numId w:val="11"/>
        </w:numPr>
        <w:kinsoku/>
        <w:wordWrap/>
        <w:overflowPunct/>
        <w:topLinePunct w:val="0"/>
        <w:autoSpaceDE/>
        <w:autoSpaceDN/>
        <w:bidi w:val="0"/>
        <w:snapToGrid/>
        <w:spacing w:line="480" w:lineRule="exact"/>
        <w:ind w:left="425" w:leftChars="0" w:hanging="425"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服从采购人管理，在规定项目和范围内开展经营活动，不得擅自扩大或变更经营范围和种类，不得随意自行停业。</w:t>
      </w:r>
    </w:p>
    <w:p w14:paraId="2060BADF">
      <w:pPr>
        <w:pageBreakBefore w:val="0"/>
        <w:numPr>
          <w:ilvl w:val="0"/>
          <w:numId w:val="11"/>
        </w:numPr>
        <w:kinsoku/>
        <w:wordWrap/>
        <w:overflowPunct/>
        <w:topLinePunct w:val="0"/>
        <w:autoSpaceDE/>
        <w:autoSpaceDN/>
        <w:bidi w:val="0"/>
        <w:snapToGrid/>
        <w:spacing w:line="480" w:lineRule="exact"/>
        <w:ind w:left="425" w:leftChars="0" w:hanging="425"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具备完善的符合行业标准的卫生、安全等各方面管理制度，并与采购人签订安全承诺书。</w:t>
      </w:r>
    </w:p>
    <w:p w14:paraId="2685917D">
      <w:pPr>
        <w:pageBreakBefore w:val="0"/>
        <w:numPr>
          <w:ilvl w:val="0"/>
          <w:numId w:val="11"/>
        </w:numPr>
        <w:kinsoku/>
        <w:wordWrap/>
        <w:overflowPunct/>
        <w:topLinePunct w:val="0"/>
        <w:autoSpaceDE/>
        <w:autoSpaceDN/>
        <w:bidi w:val="0"/>
        <w:snapToGrid/>
        <w:spacing w:line="480" w:lineRule="exact"/>
        <w:ind w:left="425" w:leftChars="0" w:hanging="425" w:firstLineChars="0"/>
        <w:textAlignment w:val="auto"/>
        <w:rPr>
          <w:rFonts w:hint="eastAsia" w:ascii="宋体" w:hAnsi="宋体" w:eastAsia="宋体" w:cs="宋体"/>
          <w:color w:val="auto"/>
          <w:sz w:val="24"/>
          <w:szCs w:val="24"/>
          <w:highlight w:val="none"/>
          <w:lang w:val="en-US" w:eastAsia="zh-CN" w:bidi="ar-SA"/>
        </w:rPr>
      </w:pPr>
      <w:r>
        <w:rPr>
          <w:rFonts w:hint="eastAsia" w:ascii="宋体" w:hAnsi="宋体" w:cs="宋体"/>
          <w:color w:val="auto"/>
          <w:sz w:val="24"/>
          <w:szCs w:val="24"/>
          <w:highlight w:val="none"/>
          <w:lang w:val="en-US" w:eastAsia="zh-CN"/>
        </w:rPr>
        <w:t>中标人服务</w:t>
      </w:r>
      <w:r>
        <w:rPr>
          <w:rFonts w:hint="eastAsia" w:ascii="宋体" w:hAnsi="宋体" w:eastAsia="宋体" w:cs="宋体"/>
          <w:color w:val="auto"/>
          <w:sz w:val="24"/>
          <w:szCs w:val="24"/>
          <w:highlight w:val="none"/>
          <w:lang w:val="en-US" w:eastAsia="zh-CN"/>
        </w:rPr>
        <w:t>期间，有发生被投诉的，</w:t>
      </w:r>
      <w:r>
        <w:rPr>
          <w:rFonts w:hint="eastAsia" w:ascii="宋体" w:hAnsi="宋体" w:cs="宋体"/>
          <w:color w:val="auto"/>
          <w:sz w:val="24"/>
          <w:szCs w:val="24"/>
          <w:highlight w:val="none"/>
          <w:lang w:val="en-US" w:eastAsia="zh-CN"/>
        </w:rPr>
        <w:t>中标人</w:t>
      </w:r>
      <w:r>
        <w:rPr>
          <w:rFonts w:hint="eastAsia" w:ascii="宋体" w:hAnsi="宋体" w:eastAsia="宋体" w:cs="宋体"/>
          <w:color w:val="auto"/>
          <w:sz w:val="24"/>
          <w:szCs w:val="24"/>
          <w:highlight w:val="none"/>
          <w:lang w:val="en-US" w:eastAsia="zh-CN"/>
        </w:rPr>
        <w:t>应积极妥善处理投诉，经采购人查实未妥善处理的影响采购人名誉的，采购人有权视情节严重程度对</w:t>
      </w:r>
      <w:r>
        <w:rPr>
          <w:rFonts w:hint="eastAsia" w:ascii="宋体" w:hAnsi="宋体" w:cs="宋体"/>
          <w:color w:val="auto"/>
          <w:sz w:val="24"/>
          <w:szCs w:val="24"/>
          <w:highlight w:val="none"/>
          <w:lang w:val="en-US" w:eastAsia="zh-CN"/>
        </w:rPr>
        <w:t>中标人</w:t>
      </w:r>
      <w:r>
        <w:rPr>
          <w:rFonts w:hint="eastAsia" w:ascii="宋体" w:hAnsi="宋体" w:eastAsia="宋体" w:cs="宋体"/>
          <w:color w:val="auto"/>
          <w:sz w:val="24"/>
          <w:szCs w:val="24"/>
          <w:highlight w:val="none"/>
          <w:lang w:val="en-US" w:eastAsia="zh-CN"/>
        </w:rPr>
        <w:t>进行经济</w:t>
      </w:r>
      <w:r>
        <w:rPr>
          <w:rFonts w:hint="eastAsia" w:ascii="宋体" w:hAnsi="宋体" w:cs="宋体"/>
          <w:color w:val="auto"/>
          <w:sz w:val="24"/>
          <w:szCs w:val="24"/>
          <w:highlight w:val="none"/>
          <w:lang w:val="en-US" w:eastAsia="zh-CN"/>
        </w:rPr>
        <w:t>处罚</w:t>
      </w:r>
      <w:r>
        <w:rPr>
          <w:rFonts w:hint="eastAsia" w:ascii="宋体" w:hAnsi="宋体" w:eastAsia="宋体" w:cs="宋体"/>
          <w:color w:val="auto"/>
          <w:sz w:val="24"/>
          <w:szCs w:val="24"/>
          <w:highlight w:val="none"/>
          <w:lang w:val="en-US" w:eastAsia="zh-CN"/>
        </w:rPr>
        <w:t>。</w:t>
      </w:r>
    </w:p>
    <w:p w14:paraId="311A211E">
      <w:pPr>
        <w:pageBreakBefore w:val="0"/>
        <w:numPr>
          <w:ilvl w:val="0"/>
          <w:numId w:val="11"/>
        </w:numPr>
        <w:kinsoku/>
        <w:wordWrap/>
        <w:overflowPunct/>
        <w:topLinePunct w:val="0"/>
        <w:autoSpaceDE/>
        <w:autoSpaceDN/>
        <w:bidi w:val="0"/>
        <w:snapToGrid/>
        <w:spacing w:line="480" w:lineRule="exact"/>
        <w:ind w:left="425" w:leftChars="0" w:hanging="425" w:firstLineChars="0"/>
        <w:textAlignment w:val="auto"/>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lang w:val="en-US" w:eastAsia="zh-CN" w:bidi="ar-SA"/>
        </w:rPr>
        <w:t>由于采购人工作的特殊性，要求驿站24小时全天候开放，其中9：00—18：00为有专人值守时段，其余时段采用自动出库仪、自助寄件等设备实现无人收寄功能。</w:t>
      </w:r>
    </w:p>
    <w:p w14:paraId="5C18F50A">
      <w:pPr>
        <w:pageBreakBefore w:val="0"/>
        <w:numPr>
          <w:ilvl w:val="0"/>
          <w:numId w:val="11"/>
        </w:numPr>
        <w:kinsoku/>
        <w:wordWrap/>
        <w:overflowPunct/>
        <w:topLinePunct w:val="0"/>
        <w:autoSpaceDE/>
        <w:autoSpaceDN/>
        <w:bidi w:val="0"/>
        <w:snapToGrid/>
        <w:spacing w:line="480" w:lineRule="exact"/>
        <w:ind w:left="425" w:leftChars="0" w:hanging="425" w:firstLineChars="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bidi="ar-SA"/>
        </w:rPr>
        <w:t>中标人</w:t>
      </w:r>
      <w:r>
        <w:rPr>
          <w:rFonts w:hint="eastAsia" w:ascii="宋体" w:hAnsi="宋体" w:eastAsia="宋体" w:cs="宋体"/>
          <w:color w:val="auto"/>
          <w:sz w:val="24"/>
          <w:szCs w:val="24"/>
          <w:highlight w:val="none"/>
          <w:lang w:val="en-US" w:eastAsia="zh-CN" w:bidi="ar-SA"/>
        </w:rPr>
        <w:t>在服务区域必须安装充足的监控设备，实现360°监控无死角，监控天数能够存储30天以上，实时监控服务动态，对出现异常情况及时反应，确保快件的安全。同时需确保场地的消防安全，制定应急措施、安全管理制度，配备烟雾报警器、紧急报警系统等消防设施，加强员工的安全教育。</w:t>
      </w:r>
    </w:p>
    <w:p w14:paraId="7C2C181B">
      <w:pPr>
        <w:pageBreakBefore w:val="0"/>
        <w:numPr>
          <w:ilvl w:val="0"/>
          <w:numId w:val="11"/>
        </w:numPr>
        <w:kinsoku/>
        <w:wordWrap/>
        <w:overflowPunct/>
        <w:topLinePunct w:val="0"/>
        <w:autoSpaceDE/>
        <w:autoSpaceDN/>
        <w:bidi w:val="0"/>
        <w:snapToGrid/>
        <w:spacing w:line="480" w:lineRule="exact"/>
        <w:ind w:left="425" w:leftChars="0" w:hanging="425" w:firstLineChars="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中标人</w:t>
      </w:r>
      <w:r>
        <w:rPr>
          <w:rFonts w:hint="eastAsia" w:ascii="宋体" w:hAnsi="宋体" w:eastAsia="宋体" w:cs="宋体"/>
          <w:color w:val="auto"/>
          <w:kern w:val="2"/>
          <w:sz w:val="24"/>
          <w:szCs w:val="24"/>
          <w:highlight w:val="none"/>
          <w:lang w:val="en-US" w:eastAsia="zh-CN" w:bidi="ar-SA"/>
        </w:rPr>
        <w:t>的驻点人员应须在合同签订后15个工作日内向采购人报备花名册，须包含以下内容：姓名、性别、年龄、籍贯、身份证复印件、无犯罪证明。后续更换或新录用员工，均应在15个工作日内提交以上材料。</w:t>
      </w:r>
      <w:r>
        <w:rPr>
          <w:rFonts w:hint="eastAsia" w:ascii="宋体" w:hAnsi="宋体" w:cs="宋体"/>
          <w:color w:val="auto"/>
          <w:kern w:val="2"/>
          <w:sz w:val="24"/>
          <w:szCs w:val="24"/>
          <w:highlight w:val="none"/>
          <w:lang w:val="en-US" w:eastAsia="zh-CN" w:bidi="ar-SA"/>
        </w:rPr>
        <w:t>中标人</w:t>
      </w:r>
      <w:r>
        <w:rPr>
          <w:rFonts w:hint="eastAsia" w:ascii="宋体" w:hAnsi="宋体" w:eastAsia="宋体" w:cs="宋体"/>
          <w:color w:val="auto"/>
          <w:kern w:val="2"/>
          <w:sz w:val="24"/>
          <w:szCs w:val="24"/>
          <w:highlight w:val="none"/>
          <w:lang w:val="en-US" w:eastAsia="zh-CN" w:bidi="ar-SA"/>
        </w:rPr>
        <w:t>不得雇用未满16周岁的未成年人。</w:t>
      </w:r>
    </w:p>
    <w:p w14:paraId="00884D29">
      <w:pPr>
        <w:pageBreakBefore w:val="0"/>
        <w:numPr>
          <w:ilvl w:val="0"/>
          <w:numId w:val="10"/>
        </w:numPr>
        <w:kinsoku/>
        <w:wordWrap/>
        <w:overflowPunct/>
        <w:topLinePunct w:val="0"/>
        <w:autoSpaceDE/>
        <w:autoSpaceDN/>
        <w:bidi w:val="0"/>
        <w:snapToGrid/>
        <w:spacing w:line="480" w:lineRule="exact"/>
        <w:ind w:left="425" w:leftChars="0" w:hanging="425" w:firstLineChars="0"/>
        <w:textAlignment w:val="auto"/>
        <w:rPr>
          <w:rFonts w:ascii="宋体" w:hAnsi="宋体" w:eastAsia="宋体" w:cs="宋体"/>
          <w:b w:val="0"/>
          <w:bCs w:val="0"/>
          <w:sz w:val="24"/>
          <w:szCs w:val="24"/>
        </w:rPr>
      </w:pPr>
      <w:r>
        <w:rPr>
          <w:rFonts w:ascii="宋体" w:hAnsi="宋体" w:eastAsia="宋体" w:cs="宋体"/>
          <w:b w:val="0"/>
          <w:bCs w:val="0"/>
          <w:sz w:val="24"/>
          <w:szCs w:val="24"/>
        </w:rPr>
        <w:t>智能快递柜整合与后续投入要求</w:t>
      </w:r>
    </w:p>
    <w:p w14:paraId="250D7B99">
      <w:pPr>
        <w:numPr>
          <w:ilvl w:val="0"/>
          <w:numId w:val="12"/>
        </w:numPr>
        <w:spacing w:line="480" w:lineRule="exact"/>
        <w:ind w:left="425" w:leftChars="0" w:hanging="425" w:firstLineChars="0"/>
        <w:rPr>
          <w:rFonts w:ascii="宋体" w:hAnsi="宋体" w:eastAsia="宋体" w:cs="宋体"/>
          <w:sz w:val="24"/>
          <w:szCs w:val="24"/>
        </w:rPr>
      </w:pPr>
      <w:r>
        <w:rPr>
          <w:rFonts w:ascii="宋体" w:hAnsi="宋体" w:eastAsia="宋体" w:cs="宋体"/>
          <w:b w:val="0"/>
          <w:bCs w:val="0"/>
          <w:sz w:val="24"/>
          <w:szCs w:val="24"/>
        </w:rPr>
        <w:t>现状衔接与业务整合：</w:t>
      </w:r>
      <w:r>
        <w:rPr>
          <w:rFonts w:ascii="宋体" w:hAnsi="宋体" w:eastAsia="宋体" w:cs="宋体"/>
          <w:sz w:val="24"/>
          <w:szCs w:val="24"/>
        </w:rPr>
        <w:t>采购人院内目前设有第三方运营的智能快递柜。在现有智能快递柜服务合同期满前，</w:t>
      </w:r>
      <w:r>
        <w:rPr>
          <w:rFonts w:hint="eastAsia" w:ascii="宋体" w:hAnsi="宋体" w:eastAsia="宋体" w:cs="宋体"/>
          <w:sz w:val="24"/>
          <w:szCs w:val="24"/>
          <w:lang w:eastAsia="zh-CN"/>
        </w:rPr>
        <w:t>中标人</w:t>
      </w:r>
      <w:r>
        <w:rPr>
          <w:rFonts w:ascii="宋体" w:hAnsi="宋体" w:eastAsia="宋体" w:cs="宋体"/>
          <w:sz w:val="24"/>
          <w:szCs w:val="24"/>
        </w:rPr>
        <w:t>须积极配合，实现“人工驿站+现有快递柜”的业务整合与平稳运行，不得因新老业务交接影响采购人正常的快递收发秩序。</w:t>
      </w:r>
    </w:p>
    <w:p w14:paraId="30C7523A">
      <w:pPr>
        <w:numPr>
          <w:ilvl w:val="0"/>
          <w:numId w:val="12"/>
        </w:numPr>
        <w:spacing w:line="480" w:lineRule="exact"/>
        <w:ind w:left="425" w:leftChars="0" w:hanging="425" w:firstLineChars="0"/>
        <w:rPr>
          <w:rFonts w:ascii="宋体" w:hAnsi="宋体" w:eastAsia="宋体" w:cs="宋体"/>
          <w:b w:val="0"/>
          <w:bCs w:val="0"/>
          <w:sz w:val="24"/>
          <w:szCs w:val="24"/>
        </w:rPr>
      </w:pPr>
      <w:r>
        <w:rPr>
          <w:rFonts w:ascii="宋体" w:hAnsi="宋体" w:eastAsia="宋体" w:cs="宋体"/>
          <w:b w:val="0"/>
          <w:bCs w:val="0"/>
          <w:sz w:val="24"/>
          <w:szCs w:val="24"/>
        </w:rPr>
        <w:t>到期承接与设备投入：</w:t>
      </w:r>
      <w:r>
        <w:rPr>
          <w:rFonts w:ascii="宋体" w:hAnsi="宋体" w:eastAsia="宋体" w:cs="宋体"/>
          <w:sz w:val="24"/>
          <w:szCs w:val="24"/>
        </w:rPr>
        <w:t xml:space="preserve"> 现有智能快递柜服务合同到期后，</w:t>
      </w:r>
      <w:r>
        <w:rPr>
          <w:rFonts w:hint="eastAsia" w:ascii="宋体" w:hAnsi="宋体" w:eastAsia="宋体" w:cs="宋体"/>
          <w:sz w:val="24"/>
          <w:szCs w:val="24"/>
          <w:lang w:eastAsia="zh-CN"/>
        </w:rPr>
        <w:t>中标人</w:t>
      </w:r>
      <w:r>
        <w:rPr>
          <w:rFonts w:ascii="宋体" w:hAnsi="宋体" w:eastAsia="宋体" w:cs="宋体"/>
          <w:sz w:val="24"/>
          <w:szCs w:val="24"/>
        </w:rPr>
        <w:t>须无条件接管院内智能快递柜的全面服务，并全额出资投入全新的智能快递柜设备以替换原有设备。新投入的快递柜数量、规格、功能（需具备自动出库、自助</w:t>
      </w:r>
      <w:r>
        <w:rPr>
          <w:rFonts w:ascii="宋体" w:hAnsi="宋体" w:eastAsia="宋体" w:cs="宋体"/>
          <w:b w:val="0"/>
          <w:bCs w:val="0"/>
          <w:sz w:val="24"/>
          <w:szCs w:val="24"/>
        </w:rPr>
        <w:t>寄件等无人收寄功能）及安放位置，须在现有设备到期前30个工作日内报采购人审核同意后方可组织实施。</w:t>
      </w:r>
    </w:p>
    <w:p w14:paraId="5B167530">
      <w:pPr>
        <w:numPr>
          <w:ilvl w:val="0"/>
          <w:numId w:val="12"/>
        </w:numPr>
        <w:spacing w:line="480" w:lineRule="exact"/>
        <w:ind w:left="425" w:leftChars="0" w:hanging="425" w:firstLineChars="0"/>
        <w:rPr>
          <w:rFonts w:ascii="宋体" w:hAnsi="宋体" w:eastAsia="宋体" w:cs="宋体"/>
          <w:b w:val="0"/>
          <w:bCs w:val="0"/>
          <w:sz w:val="24"/>
          <w:szCs w:val="24"/>
        </w:rPr>
      </w:pPr>
      <w:r>
        <w:rPr>
          <w:rFonts w:ascii="宋体" w:hAnsi="宋体" w:eastAsia="宋体" w:cs="宋体"/>
          <w:b w:val="0"/>
          <w:bCs w:val="0"/>
          <w:sz w:val="24"/>
          <w:szCs w:val="24"/>
        </w:rPr>
        <w:t>费用承担与资产归属：</w:t>
      </w:r>
      <w:r>
        <w:rPr>
          <w:rFonts w:hint="eastAsia" w:ascii="宋体" w:hAnsi="宋体" w:eastAsia="宋体" w:cs="宋体"/>
          <w:b w:val="0"/>
          <w:bCs w:val="0"/>
          <w:sz w:val="24"/>
          <w:szCs w:val="24"/>
          <w:lang w:eastAsia="zh-CN"/>
        </w:rPr>
        <w:t>中标人</w:t>
      </w:r>
      <w:r>
        <w:rPr>
          <w:rFonts w:ascii="宋体" w:hAnsi="宋体" w:eastAsia="宋体" w:cs="宋体"/>
          <w:b w:val="0"/>
          <w:bCs w:val="0"/>
          <w:sz w:val="24"/>
          <w:szCs w:val="24"/>
        </w:rPr>
        <w:t>投入的新智能快递柜所需的一切费用（包括但不限于设备采购、安装、调试、网络、日常维护及最终拆除等）均由</w:t>
      </w:r>
      <w:r>
        <w:rPr>
          <w:rFonts w:hint="eastAsia" w:ascii="宋体" w:hAnsi="宋体" w:eastAsia="宋体" w:cs="宋体"/>
          <w:b w:val="0"/>
          <w:bCs w:val="0"/>
          <w:sz w:val="24"/>
          <w:szCs w:val="24"/>
          <w:lang w:eastAsia="zh-CN"/>
        </w:rPr>
        <w:t>中标人</w:t>
      </w:r>
      <w:r>
        <w:rPr>
          <w:rFonts w:ascii="宋体" w:hAnsi="宋体" w:eastAsia="宋体" w:cs="宋体"/>
          <w:b w:val="0"/>
          <w:bCs w:val="0"/>
          <w:sz w:val="24"/>
          <w:szCs w:val="24"/>
        </w:rPr>
        <w:t>自行承担，包含在整体报价中。合同期满后，该设备资产归</w:t>
      </w:r>
      <w:r>
        <w:rPr>
          <w:rFonts w:hint="eastAsia" w:ascii="宋体" w:hAnsi="宋体" w:eastAsia="宋体" w:cs="宋体"/>
          <w:b w:val="0"/>
          <w:bCs w:val="0"/>
          <w:sz w:val="24"/>
          <w:szCs w:val="24"/>
          <w:lang w:eastAsia="zh-CN"/>
        </w:rPr>
        <w:t>中标人</w:t>
      </w:r>
      <w:r>
        <w:rPr>
          <w:rFonts w:ascii="宋体" w:hAnsi="宋体" w:eastAsia="宋体" w:cs="宋体"/>
          <w:b w:val="0"/>
          <w:bCs w:val="0"/>
          <w:sz w:val="24"/>
          <w:szCs w:val="24"/>
        </w:rPr>
        <w:t>所有，</w:t>
      </w:r>
      <w:r>
        <w:rPr>
          <w:rFonts w:hint="eastAsia" w:ascii="宋体" w:hAnsi="宋体" w:eastAsia="宋体" w:cs="宋体"/>
          <w:b w:val="0"/>
          <w:bCs w:val="0"/>
          <w:sz w:val="24"/>
          <w:szCs w:val="24"/>
          <w:lang w:eastAsia="zh-CN"/>
        </w:rPr>
        <w:t>中标人</w:t>
      </w:r>
      <w:r>
        <w:rPr>
          <w:rFonts w:ascii="宋体" w:hAnsi="宋体" w:eastAsia="宋体" w:cs="宋体"/>
          <w:b w:val="0"/>
          <w:bCs w:val="0"/>
          <w:sz w:val="24"/>
          <w:szCs w:val="24"/>
        </w:rPr>
        <w:t>应负责无条件清场并恢复场地原貌（除非采购人另有要求）。</w:t>
      </w:r>
    </w:p>
    <w:p w14:paraId="15F2C957">
      <w:pPr>
        <w:pageBreakBefore w:val="0"/>
        <w:numPr>
          <w:ilvl w:val="0"/>
          <w:numId w:val="10"/>
        </w:numPr>
        <w:kinsoku/>
        <w:wordWrap/>
        <w:overflowPunct/>
        <w:topLinePunct w:val="0"/>
        <w:autoSpaceDE/>
        <w:autoSpaceDN/>
        <w:bidi w:val="0"/>
        <w:snapToGrid/>
        <w:spacing w:line="480" w:lineRule="exact"/>
        <w:ind w:left="425" w:leftChars="0" w:hanging="425" w:firstLineChars="0"/>
        <w:textAlignment w:val="auto"/>
        <w:rPr>
          <w:rFonts w:hint="eastAsia" w:ascii="宋体" w:hAnsi="宋体" w:cs="宋体"/>
          <w:b w:val="0"/>
          <w:bCs w:val="0"/>
          <w:sz w:val="24"/>
          <w:szCs w:val="24"/>
          <w:lang w:val="en-US" w:eastAsia="zh-CN"/>
        </w:rPr>
      </w:pPr>
      <w:r>
        <w:rPr>
          <w:rFonts w:hint="eastAsia" w:ascii="宋体" w:hAnsi="宋体" w:cs="宋体"/>
          <w:b w:val="0"/>
          <w:bCs w:val="0"/>
          <w:sz w:val="24"/>
          <w:szCs w:val="24"/>
          <w:lang w:val="en-US" w:eastAsia="zh-CN"/>
        </w:rPr>
        <w:t>处罚条款</w:t>
      </w:r>
    </w:p>
    <w:p w14:paraId="2C42210B">
      <w:pPr>
        <w:keepNext w:val="0"/>
        <w:keepLines w:val="0"/>
        <w:widowControl/>
        <w:numPr>
          <w:ilvl w:val="0"/>
          <w:numId w:val="13"/>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425" w:leftChars="0" w:right="0" w:hanging="425" w:firstLineChars="0"/>
        <w:jc w:val="left"/>
        <w:rPr>
          <w:b w:val="0"/>
          <w:bCs w:val="0"/>
          <w:color w:val="000000"/>
          <w:sz w:val="24"/>
          <w:szCs w:val="24"/>
        </w:rPr>
      </w:pPr>
      <w:r>
        <w:rPr>
          <w:b w:val="0"/>
          <w:bCs w:val="0"/>
          <w:color w:val="000000"/>
          <w:sz w:val="24"/>
          <w:szCs w:val="24"/>
        </w:rPr>
        <w:t>承包方须严格遵守医院院区管理、消防安全、院感防控、环境卫生等各项管理制度，服从医院各职能部门日常监管。拒不配合、逾期不整改的，每次处罚</w:t>
      </w:r>
      <w:r>
        <w:rPr>
          <w:rStyle w:val="22"/>
          <w:rFonts w:hint="eastAsia"/>
          <w:b w:val="0"/>
          <w:bCs w:val="0"/>
          <w:color w:val="000000"/>
          <w:sz w:val="24"/>
          <w:szCs w:val="24"/>
          <w:lang w:val="en-US" w:eastAsia="zh-CN"/>
        </w:rPr>
        <w:t>100</w:t>
      </w:r>
      <w:r>
        <w:rPr>
          <w:rStyle w:val="22"/>
          <w:b w:val="0"/>
          <w:bCs w:val="0"/>
          <w:color w:val="000000"/>
          <w:sz w:val="24"/>
          <w:szCs w:val="24"/>
        </w:rPr>
        <w:t>–2000 元</w:t>
      </w:r>
      <w:r>
        <w:rPr>
          <w:b w:val="0"/>
          <w:bCs w:val="0"/>
          <w:color w:val="000000"/>
          <w:sz w:val="24"/>
          <w:szCs w:val="24"/>
        </w:rPr>
        <w:t>。</w:t>
      </w:r>
    </w:p>
    <w:p w14:paraId="5E65C516">
      <w:pPr>
        <w:keepNext w:val="0"/>
        <w:keepLines w:val="0"/>
        <w:widowControl/>
        <w:numPr>
          <w:ilvl w:val="0"/>
          <w:numId w:val="13"/>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425" w:leftChars="0" w:right="0" w:hanging="425" w:firstLineChars="0"/>
        <w:jc w:val="left"/>
        <w:rPr>
          <w:b w:val="0"/>
          <w:bCs w:val="0"/>
          <w:color w:val="000000"/>
          <w:sz w:val="24"/>
          <w:szCs w:val="24"/>
        </w:rPr>
      </w:pPr>
      <w:r>
        <w:rPr>
          <w:b w:val="0"/>
          <w:bCs w:val="0"/>
          <w:color w:val="000000"/>
          <w:sz w:val="24"/>
          <w:szCs w:val="24"/>
        </w:rPr>
        <w:t>严禁占道堆放、乱堆杂物、超范围经营、随意丢弃快递包装垃圾，破坏院区环境。违规一次处罚</w:t>
      </w:r>
      <w:r>
        <w:rPr>
          <w:rStyle w:val="22"/>
          <w:rFonts w:hint="eastAsia"/>
          <w:b w:val="0"/>
          <w:bCs w:val="0"/>
          <w:color w:val="000000"/>
          <w:sz w:val="24"/>
          <w:szCs w:val="24"/>
          <w:lang w:val="en-US" w:eastAsia="zh-CN"/>
        </w:rPr>
        <w:t>100</w:t>
      </w:r>
      <w:r>
        <w:rPr>
          <w:rStyle w:val="22"/>
          <w:b w:val="0"/>
          <w:bCs w:val="0"/>
          <w:color w:val="000000"/>
          <w:sz w:val="24"/>
          <w:szCs w:val="24"/>
        </w:rPr>
        <w:t>–1000 元</w:t>
      </w:r>
      <w:r>
        <w:rPr>
          <w:b w:val="0"/>
          <w:bCs w:val="0"/>
          <w:color w:val="000000"/>
          <w:sz w:val="24"/>
          <w:szCs w:val="24"/>
        </w:rPr>
        <w:t>，限期整改。</w:t>
      </w:r>
    </w:p>
    <w:p w14:paraId="7CF1D37E">
      <w:pPr>
        <w:keepNext w:val="0"/>
        <w:keepLines w:val="0"/>
        <w:widowControl/>
        <w:numPr>
          <w:ilvl w:val="0"/>
          <w:numId w:val="13"/>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425" w:leftChars="0" w:right="0" w:hanging="425" w:firstLineChars="0"/>
        <w:jc w:val="left"/>
        <w:rPr>
          <w:b w:val="0"/>
          <w:bCs w:val="0"/>
          <w:color w:val="000000"/>
          <w:sz w:val="24"/>
          <w:szCs w:val="24"/>
        </w:rPr>
      </w:pPr>
      <w:r>
        <w:rPr>
          <w:b w:val="0"/>
          <w:bCs w:val="0"/>
          <w:color w:val="000000"/>
          <w:sz w:val="24"/>
          <w:szCs w:val="24"/>
        </w:rPr>
        <w:t>保持驿站及周边环境卫生干净整洁，落实垃圾分类清运。卫生脏乱、垃圾堆积的，每次处罚</w:t>
      </w:r>
      <w:r>
        <w:rPr>
          <w:rStyle w:val="22"/>
          <w:rFonts w:hint="eastAsia"/>
          <w:b w:val="0"/>
          <w:bCs w:val="0"/>
          <w:color w:val="000000"/>
          <w:sz w:val="24"/>
          <w:szCs w:val="24"/>
          <w:lang w:val="en-US" w:eastAsia="zh-CN"/>
        </w:rPr>
        <w:t>100</w:t>
      </w:r>
      <w:r>
        <w:rPr>
          <w:rStyle w:val="22"/>
          <w:b w:val="0"/>
          <w:bCs w:val="0"/>
          <w:color w:val="000000"/>
          <w:sz w:val="24"/>
          <w:szCs w:val="24"/>
        </w:rPr>
        <w:t>–800 元</w:t>
      </w:r>
      <w:r>
        <w:rPr>
          <w:b w:val="0"/>
          <w:bCs w:val="0"/>
          <w:color w:val="000000"/>
          <w:sz w:val="24"/>
          <w:szCs w:val="24"/>
        </w:rPr>
        <w:t>。</w:t>
      </w:r>
    </w:p>
    <w:p w14:paraId="22C73093">
      <w:pPr>
        <w:keepNext w:val="0"/>
        <w:keepLines w:val="0"/>
        <w:widowControl/>
        <w:numPr>
          <w:ilvl w:val="0"/>
          <w:numId w:val="13"/>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425" w:leftChars="0" w:right="0" w:hanging="425" w:firstLineChars="0"/>
        <w:jc w:val="left"/>
        <w:rPr>
          <w:b w:val="0"/>
          <w:bCs w:val="0"/>
          <w:color w:val="000000"/>
          <w:sz w:val="24"/>
          <w:szCs w:val="24"/>
        </w:rPr>
      </w:pPr>
      <w:r>
        <w:rPr>
          <w:b w:val="0"/>
          <w:bCs w:val="0"/>
          <w:color w:val="000000"/>
          <w:sz w:val="24"/>
          <w:szCs w:val="24"/>
        </w:rPr>
        <w:t>工作人员文明规范服务，禁止争吵争执、言行不文明、院内吸烟等违规行为。违反一次处罚</w:t>
      </w:r>
      <w:r>
        <w:rPr>
          <w:rStyle w:val="22"/>
          <w:rFonts w:hint="eastAsia"/>
          <w:b w:val="0"/>
          <w:bCs w:val="0"/>
          <w:color w:val="000000"/>
          <w:sz w:val="24"/>
          <w:szCs w:val="24"/>
          <w:lang w:val="en-US" w:eastAsia="zh-CN"/>
        </w:rPr>
        <w:t>100</w:t>
      </w:r>
      <w:r>
        <w:rPr>
          <w:rStyle w:val="22"/>
          <w:b w:val="0"/>
          <w:bCs w:val="0"/>
          <w:color w:val="000000"/>
          <w:sz w:val="24"/>
          <w:szCs w:val="24"/>
        </w:rPr>
        <w:t>–1000 元</w:t>
      </w:r>
      <w:r>
        <w:rPr>
          <w:b w:val="0"/>
          <w:bCs w:val="0"/>
          <w:color w:val="000000"/>
          <w:sz w:val="24"/>
          <w:szCs w:val="24"/>
        </w:rPr>
        <w:t>。</w:t>
      </w:r>
    </w:p>
    <w:p w14:paraId="4815E625">
      <w:pPr>
        <w:keepNext w:val="0"/>
        <w:keepLines w:val="0"/>
        <w:widowControl/>
        <w:numPr>
          <w:ilvl w:val="0"/>
          <w:numId w:val="13"/>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425" w:leftChars="0" w:right="0" w:hanging="425" w:firstLineChars="0"/>
        <w:jc w:val="left"/>
        <w:rPr>
          <w:b w:val="0"/>
          <w:bCs w:val="0"/>
          <w:color w:val="000000"/>
          <w:sz w:val="24"/>
          <w:szCs w:val="24"/>
        </w:rPr>
      </w:pPr>
      <w:r>
        <w:rPr>
          <w:b w:val="0"/>
          <w:bCs w:val="0"/>
          <w:color w:val="000000"/>
          <w:sz w:val="24"/>
          <w:szCs w:val="24"/>
        </w:rPr>
        <w:t>严格遵守消防及用电管理规定，严禁私拉乱接电线、违规用电、堵塞消防通道。存在消防隐患的，每次处罚</w:t>
      </w:r>
      <w:r>
        <w:rPr>
          <w:rStyle w:val="22"/>
          <w:b w:val="0"/>
          <w:bCs w:val="0"/>
          <w:color w:val="000000"/>
          <w:sz w:val="24"/>
          <w:szCs w:val="24"/>
        </w:rPr>
        <w:t>1000–3000 元</w:t>
      </w:r>
      <w:r>
        <w:rPr>
          <w:b w:val="0"/>
          <w:bCs w:val="0"/>
          <w:color w:val="000000"/>
          <w:sz w:val="24"/>
          <w:szCs w:val="24"/>
        </w:rPr>
        <w:t>。</w:t>
      </w:r>
    </w:p>
    <w:p w14:paraId="290369FA">
      <w:pPr>
        <w:keepNext w:val="0"/>
        <w:keepLines w:val="0"/>
        <w:widowControl/>
        <w:numPr>
          <w:ilvl w:val="0"/>
          <w:numId w:val="13"/>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425" w:leftChars="0" w:right="0" w:hanging="425" w:firstLineChars="0"/>
        <w:jc w:val="left"/>
        <w:rPr>
          <w:b w:val="0"/>
          <w:bCs w:val="0"/>
          <w:color w:val="000000"/>
          <w:sz w:val="24"/>
          <w:szCs w:val="24"/>
        </w:rPr>
      </w:pPr>
      <w:r>
        <w:rPr>
          <w:b w:val="0"/>
          <w:bCs w:val="0"/>
          <w:color w:val="000000"/>
          <w:sz w:val="24"/>
          <w:szCs w:val="24"/>
        </w:rPr>
        <w:t>不得擅自改造场地、损坏医院设施设备，造成损坏须全额赔偿，并额外处罚</w:t>
      </w:r>
      <w:r>
        <w:rPr>
          <w:rStyle w:val="22"/>
          <w:b w:val="0"/>
          <w:bCs w:val="0"/>
          <w:color w:val="000000"/>
          <w:sz w:val="24"/>
          <w:szCs w:val="24"/>
        </w:rPr>
        <w:t>500–2000 元 / 次</w:t>
      </w:r>
      <w:r>
        <w:rPr>
          <w:b w:val="0"/>
          <w:bCs w:val="0"/>
          <w:color w:val="000000"/>
          <w:sz w:val="24"/>
          <w:szCs w:val="24"/>
        </w:rPr>
        <w:t>。</w:t>
      </w:r>
    </w:p>
    <w:p w14:paraId="059819F3">
      <w:pPr>
        <w:keepNext w:val="0"/>
        <w:keepLines w:val="0"/>
        <w:widowControl/>
        <w:numPr>
          <w:ilvl w:val="0"/>
          <w:numId w:val="13"/>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425" w:leftChars="0" w:right="0" w:hanging="425" w:firstLineChars="0"/>
        <w:jc w:val="left"/>
        <w:rPr>
          <w:rFonts w:hint="default" w:ascii="宋体" w:hAnsi="宋体" w:cs="宋体"/>
          <w:b w:val="0"/>
          <w:bCs w:val="0"/>
          <w:sz w:val="24"/>
          <w:szCs w:val="24"/>
          <w:lang w:val="en-US" w:eastAsia="zh-CN"/>
        </w:rPr>
      </w:pPr>
      <w:r>
        <w:rPr>
          <w:b w:val="0"/>
          <w:bCs w:val="0"/>
          <w:color w:val="000000"/>
          <w:sz w:val="24"/>
          <w:szCs w:val="24"/>
        </w:rPr>
        <w:t>严禁泄露职工及患者个人隐私信息，严禁私自拍照、录像及外传院内影像资料，一经查实处罚</w:t>
      </w:r>
      <w:r>
        <w:rPr>
          <w:rStyle w:val="22"/>
          <w:b w:val="0"/>
          <w:bCs w:val="0"/>
          <w:color w:val="000000"/>
          <w:sz w:val="24"/>
          <w:szCs w:val="24"/>
        </w:rPr>
        <w:t>2000 元 / 次</w:t>
      </w:r>
      <w:r>
        <w:rPr>
          <w:b w:val="0"/>
          <w:bCs w:val="0"/>
          <w:color w:val="000000"/>
          <w:sz w:val="24"/>
          <w:szCs w:val="24"/>
        </w:rPr>
        <w:t>，情节严重直接解除合作。</w:t>
      </w:r>
    </w:p>
    <w:p w14:paraId="310C8D4C">
      <w:pPr>
        <w:keepNext w:val="0"/>
        <w:keepLines w:val="0"/>
        <w:widowControl/>
        <w:numPr>
          <w:ilvl w:val="0"/>
          <w:numId w:val="13"/>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425" w:leftChars="0" w:right="0" w:hanging="425" w:firstLineChars="0"/>
        <w:jc w:val="left"/>
        <w:rPr>
          <w:rFonts w:hint="default" w:ascii="宋体" w:hAnsi="宋体" w:cs="宋体"/>
          <w:b w:val="0"/>
          <w:bCs w:val="0"/>
          <w:sz w:val="24"/>
          <w:szCs w:val="24"/>
          <w:lang w:val="en-US" w:eastAsia="zh-CN"/>
        </w:rPr>
      </w:pPr>
      <w:r>
        <w:rPr>
          <w:b w:val="0"/>
          <w:bCs w:val="0"/>
          <w:color w:val="000000"/>
          <w:sz w:val="24"/>
          <w:szCs w:val="24"/>
        </w:rPr>
        <w:t>严禁转包、分包、转租经营点位，因管理不善引发投诉、秩序混乱、不良影响的，医院有权处以</w:t>
      </w:r>
      <w:r>
        <w:rPr>
          <w:rStyle w:val="22"/>
          <w:b w:val="0"/>
          <w:bCs w:val="0"/>
          <w:color w:val="000000"/>
          <w:sz w:val="24"/>
          <w:szCs w:val="24"/>
        </w:rPr>
        <w:t>1000–5000 元</w:t>
      </w:r>
      <w:r>
        <w:rPr>
          <w:b w:val="0"/>
          <w:bCs w:val="0"/>
          <w:color w:val="000000"/>
          <w:sz w:val="24"/>
          <w:szCs w:val="24"/>
        </w:rPr>
        <w:t>违约金，情节严重终止合同；</w:t>
      </w:r>
    </w:p>
    <w:p w14:paraId="213BE810">
      <w:pPr>
        <w:keepNext w:val="0"/>
        <w:keepLines w:val="0"/>
        <w:widowControl/>
        <w:numPr>
          <w:ilvl w:val="0"/>
          <w:numId w:val="13"/>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425" w:leftChars="0" w:right="0" w:hanging="425" w:firstLineChars="0"/>
        <w:jc w:val="left"/>
        <w:rPr>
          <w:rFonts w:hint="default" w:ascii="宋体" w:hAnsi="宋体" w:cs="宋体"/>
          <w:b w:val="0"/>
          <w:bCs w:val="0"/>
          <w:sz w:val="24"/>
          <w:szCs w:val="24"/>
          <w:lang w:val="en-US" w:eastAsia="zh-CN"/>
        </w:rPr>
      </w:pPr>
      <w:r>
        <w:rPr>
          <w:rFonts w:ascii="宋体" w:hAnsi="宋体" w:eastAsia="宋体" w:cs="宋体"/>
          <w:b w:val="0"/>
          <w:bCs w:val="0"/>
          <w:sz w:val="24"/>
          <w:szCs w:val="24"/>
        </w:rPr>
        <w:t>中标人（驿站经营者）在承包运营医院集中快递驿站期间，必须建立严格的包裹入库、上架、理货、派送及签收溯源机制。凡因经营者自身管理不善、交接不清、违规操作、安保缺失等原因，导致快递包裹在驿站存放、流转或派送环节发生遗失、短少、错发、损毁、被盗等任何情况，一切经济损失及相关法律责任均由经营者无条件全额承担，医院方面不承担任何连带责任。</w:t>
      </w:r>
    </w:p>
    <w:p w14:paraId="613395C1">
      <w:pPr>
        <w:keepNext w:val="0"/>
        <w:keepLines w:val="0"/>
        <w:widowControl/>
        <w:numPr>
          <w:ilvl w:val="0"/>
          <w:numId w:val="13"/>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425" w:leftChars="0" w:right="0" w:hanging="425" w:firstLineChars="0"/>
        <w:jc w:val="left"/>
        <w:rPr>
          <w:rFonts w:hint="default" w:ascii="宋体" w:hAnsi="宋体" w:cs="宋体"/>
          <w:b w:val="0"/>
          <w:bCs w:val="0"/>
          <w:sz w:val="24"/>
          <w:szCs w:val="24"/>
          <w:lang w:val="en-US" w:eastAsia="zh-CN"/>
        </w:rPr>
      </w:pPr>
      <w:r>
        <w:rPr>
          <w:rFonts w:ascii="宋体" w:hAnsi="宋体" w:eastAsia="宋体" w:cs="宋体"/>
          <w:b w:val="0"/>
          <w:bCs w:val="0"/>
          <w:sz w:val="24"/>
          <w:szCs w:val="24"/>
        </w:rPr>
        <w:t>驿站经营者及其所有聘用员工，在福建省肿瘤医院院内（含驿站区域、门诊病房流转途中、院内公共区域）服务期间，禁止与任何人（包括但不限于院内职工、患者及其家属、其他快递公司人员）发生任何形式的争吵、对骂或肢体冲突。</w:t>
      </w:r>
    </w:p>
    <w:bookmarkEnd w:id="0"/>
    <w:bookmarkEnd w:id="1"/>
    <w:p w14:paraId="6376D56D">
      <w:pPr>
        <w:pStyle w:val="11"/>
        <w:ind w:firstLine="0" w:firstLineChars="0"/>
      </w:pPr>
    </w:p>
    <w:p w14:paraId="773C8C76">
      <w:pPr>
        <w:widowControl/>
        <w:spacing w:line="360" w:lineRule="atLeast"/>
        <w:jc w:val="left"/>
        <w:rPr>
          <w:rFonts w:ascii="宋体" w:hAnsi="宋体" w:cs="Arial"/>
          <w:sz w:val="24"/>
        </w:rPr>
      </w:pPr>
      <w:r>
        <w:rPr>
          <w:rFonts w:hint="eastAsia" w:ascii="宋体" w:hAnsi="宋体" w:cs="Arial"/>
          <w:sz w:val="24"/>
        </w:rPr>
        <w:t>二、评分方法</w:t>
      </w:r>
    </w:p>
    <w:tbl>
      <w:tblPr>
        <w:tblStyle w:val="19"/>
        <w:tblW w:w="81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1"/>
        <w:gridCol w:w="1501"/>
        <w:gridCol w:w="142"/>
        <w:gridCol w:w="831"/>
        <w:gridCol w:w="49"/>
        <w:gridCol w:w="4907"/>
      </w:tblGrid>
      <w:tr w14:paraId="1329B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761" w:type="dxa"/>
            <w:tcBorders>
              <w:top w:val="single" w:color="auto" w:sz="4" w:space="0"/>
              <w:left w:val="single" w:color="auto" w:sz="4" w:space="0"/>
              <w:bottom w:val="single" w:color="auto" w:sz="4" w:space="0"/>
              <w:right w:val="single" w:color="auto" w:sz="4" w:space="0"/>
            </w:tcBorders>
            <w:vAlign w:val="center"/>
          </w:tcPr>
          <w:p w14:paraId="61DB9344">
            <w:pPr>
              <w:spacing w:line="420" w:lineRule="exact"/>
              <w:rPr>
                <w:rFonts w:hint="eastAsia" w:cs="Times New Roman" w:asciiTheme="minorEastAsia" w:hAnsiTheme="minorEastAsia" w:eastAsiaTheme="minorEastAsia"/>
                <w:bCs/>
                <w:kern w:val="0"/>
                <w:sz w:val="26"/>
                <w:szCs w:val="26"/>
                <w:lang w:val="en-US" w:eastAsia="zh-CN" w:bidi="ar-SA"/>
                <w14:ligatures w14:val="standardContextual"/>
              </w:rPr>
            </w:pPr>
            <w:r>
              <w:rPr>
                <w:rFonts w:hint="eastAsia" w:cs="Times New Roman" w:asciiTheme="minorEastAsia" w:hAnsiTheme="minorEastAsia" w:eastAsiaTheme="minorEastAsia"/>
                <w:bCs/>
                <w:kern w:val="0"/>
                <w:sz w:val="26"/>
                <w:szCs w:val="26"/>
                <w:lang w:val="en-US" w:eastAsia="zh-CN" w:bidi="ar-SA"/>
                <w14:ligatures w14:val="standardContextual"/>
              </w:rPr>
              <w:t>序号</w:t>
            </w:r>
          </w:p>
        </w:tc>
        <w:tc>
          <w:tcPr>
            <w:tcW w:w="1501" w:type="dxa"/>
            <w:tcBorders>
              <w:top w:val="single" w:color="auto" w:sz="4" w:space="0"/>
              <w:left w:val="single" w:color="auto" w:sz="4" w:space="0"/>
              <w:bottom w:val="single" w:color="auto" w:sz="4" w:space="0"/>
              <w:right w:val="single" w:color="auto" w:sz="4" w:space="0"/>
            </w:tcBorders>
            <w:vAlign w:val="center"/>
          </w:tcPr>
          <w:p w14:paraId="63135E45">
            <w:pPr>
              <w:spacing w:line="420" w:lineRule="exact"/>
              <w:rPr>
                <w:rFonts w:hint="eastAsia" w:cs="Times New Roman" w:asciiTheme="minorEastAsia" w:hAnsiTheme="minorEastAsia" w:eastAsiaTheme="minorEastAsia"/>
                <w:bCs/>
                <w:kern w:val="0"/>
                <w:sz w:val="26"/>
                <w:szCs w:val="26"/>
                <w:lang w:val="en-US" w:eastAsia="zh-CN" w:bidi="ar-SA"/>
                <w14:ligatures w14:val="standardContextual"/>
              </w:rPr>
            </w:pPr>
            <w:r>
              <w:rPr>
                <w:rFonts w:hint="eastAsia" w:cs="Times New Roman" w:asciiTheme="minorEastAsia" w:hAnsiTheme="minorEastAsia" w:eastAsiaTheme="minorEastAsia"/>
                <w:bCs/>
                <w:kern w:val="0"/>
                <w:sz w:val="26"/>
                <w:szCs w:val="26"/>
                <w:lang w:val="en-US" w:eastAsia="zh-CN" w:bidi="ar-SA"/>
                <w14:ligatures w14:val="standardContextual"/>
              </w:rPr>
              <w:t>评标项目</w:t>
            </w:r>
          </w:p>
        </w:tc>
        <w:tc>
          <w:tcPr>
            <w:tcW w:w="973" w:type="dxa"/>
            <w:gridSpan w:val="2"/>
            <w:tcBorders>
              <w:top w:val="single" w:color="auto" w:sz="4" w:space="0"/>
              <w:left w:val="single" w:color="auto" w:sz="4" w:space="0"/>
              <w:bottom w:val="single" w:color="auto" w:sz="4" w:space="0"/>
              <w:right w:val="single" w:color="auto" w:sz="4" w:space="0"/>
            </w:tcBorders>
            <w:vAlign w:val="center"/>
          </w:tcPr>
          <w:p w14:paraId="017C6C65">
            <w:pPr>
              <w:spacing w:line="420" w:lineRule="exact"/>
              <w:rPr>
                <w:rFonts w:hint="eastAsia" w:cs="Times New Roman" w:asciiTheme="minorEastAsia" w:hAnsiTheme="minorEastAsia" w:eastAsiaTheme="minorEastAsia"/>
                <w:bCs/>
                <w:kern w:val="0"/>
                <w:sz w:val="26"/>
                <w:szCs w:val="26"/>
                <w:lang w:val="en-US" w:eastAsia="zh-CN" w:bidi="ar-SA"/>
                <w14:ligatures w14:val="standardContextual"/>
              </w:rPr>
            </w:pPr>
            <w:r>
              <w:rPr>
                <w:rFonts w:hint="eastAsia" w:cs="Times New Roman" w:asciiTheme="minorEastAsia" w:hAnsiTheme="minorEastAsia" w:eastAsiaTheme="minorEastAsia"/>
                <w:bCs/>
                <w:kern w:val="0"/>
                <w:sz w:val="26"/>
                <w:szCs w:val="26"/>
                <w:lang w:val="en-US" w:eastAsia="zh-CN" w:bidi="ar-SA"/>
                <w14:ligatures w14:val="standardContextual"/>
              </w:rPr>
              <w:t>评标分值</w:t>
            </w:r>
          </w:p>
        </w:tc>
        <w:tc>
          <w:tcPr>
            <w:tcW w:w="4956" w:type="dxa"/>
            <w:gridSpan w:val="2"/>
            <w:tcBorders>
              <w:top w:val="single" w:color="auto" w:sz="4" w:space="0"/>
              <w:left w:val="single" w:color="auto" w:sz="4" w:space="0"/>
              <w:bottom w:val="single" w:color="auto" w:sz="4" w:space="0"/>
              <w:right w:val="single" w:color="auto" w:sz="4" w:space="0"/>
            </w:tcBorders>
            <w:vAlign w:val="center"/>
          </w:tcPr>
          <w:p w14:paraId="2DDFC16B">
            <w:pPr>
              <w:spacing w:line="420" w:lineRule="exact"/>
              <w:rPr>
                <w:rFonts w:hint="eastAsia" w:cs="Times New Roman" w:asciiTheme="minorEastAsia" w:hAnsiTheme="minorEastAsia" w:eastAsiaTheme="minorEastAsia"/>
                <w:bCs/>
                <w:kern w:val="0"/>
                <w:sz w:val="26"/>
                <w:szCs w:val="26"/>
                <w:lang w:val="en-US" w:eastAsia="zh-CN" w:bidi="ar-SA"/>
                <w14:ligatures w14:val="standardContextual"/>
              </w:rPr>
            </w:pPr>
            <w:r>
              <w:rPr>
                <w:rFonts w:hint="eastAsia" w:cs="Times New Roman" w:asciiTheme="minorEastAsia" w:hAnsiTheme="minorEastAsia" w:eastAsiaTheme="minorEastAsia"/>
                <w:bCs/>
                <w:kern w:val="0"/>
                <w:sz w:val="26"/>
                <w:szCs w:val="26"/>
                <w:lang w:val="en-US" w:eastAsia="zh-CN" w:bidi="ar-SA"/>
                <w14:ligatures w14:val="standardContextual"/>
              </w:rPr>
              <w:t>评标方法</w:t>
            </w:r>
          </w:p>
        </w:tc>
      </w:tr>
      <w:tr w14:paraId="7E130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9" w:hRule="atLeast"/>
          <w:jc w:val="center"/>
        </w:trPr>
        <w:tc>
          <w:tcPr>
            <w:tcW w:w="761" w:type="dxa"/>
            <w:tcBorders>
              <w:top w:val="single" w:color="auto" w:sz="4" w:space="0"/>
              <w:left w:val="single" w:color="auto" w:sz="4" w:space="0"/>
              <w:bottom w:val="single" w:color="auto" w:sz="4" w:space="0"/>
              <w:right w:val="single" w:color="auto" w:sz="4" w:space="0"/>
            </w:tcBorders>
            <w:vAlign w:val="center"/>
          </w:tcPr>
          <w:p w14:paraId="3D90EAF9">
            <w:pPr>
              <w:spacing w:line="420" w:lineRule="exact"/>
              <w:rPr>
                <w:rFonts w:hint="eastAsia" w:cs="Times New Roman" w:asciiTheme="minorEastAsia" w:hAnsiTheme="minorEastAsia" w:eastAsiaTheme="minorEastAsia"/>
                <w:bCs/>
                <w:kern w:val="0"/>
                <w:sz w:val="26"/>
                <w:szCs w:val="26"/>
                <w:lang w:val="en-US" w:eastAsia="zh-CN" w:bidi="ar-SA"/>
                <w14:ligatures w14:val="standardContextual"/>
              </w:rPr>
            </w:pPr>
            <w:r>
              <w:rPr>
                <w:rFonts w:hint="eastAsia" w:cs="Times New Roman" w:asciiTheme="minorEastAsia" w:hAnsiTheme="minorEastAsia" w:eastAsiaTheme="minorEastAsia"/>
                <w:bCs/>
                <w:kern w:val="0"/>
                <w:sz w:val="26"/>
                <w:szCs w:val="26"/>
                <w:lang w:val="en-US" w:eastAsia="zh-CN" w:bidi="ar-SA"/>
                <w14:ligatures w14:val="standardContextual"/>
              </w:rPr>
              <w:t>A</w:t>
            </w:r>
          </w:p>
        </w:tc>
        <w:tc>
          <w:tcPr>
            <w:tcW w:w="1501" w:type="dxa"/>
            <w:tcBorders>
              <w:top w:val="single" w:color="auto" w:sz="4" w:space="0"/>
              <w:left w:val="single" w:color="auto" w:sz="4" w:space="0"/>
              <w:bottom w:val="single" w:color="auto" w:sz="4" w:space="0"/>
              <w:right w:val="single" w:color="auto" w:sz="4" w:space="0"/>
            </w:tcBorders>
            <w:vAlign w:val="center"/>
          </w:tcPr>
          <w:p w14:paraId="48C65FF0">
            <w:pPr>
              <w:spacing w:line="420" w:lineRule="exact"/>
              <w:rPr>
                <w:rFonts w:hint="eastAsia" w:cs="Times New Roman" w:asciiTheme="minorEastAsia" w:hAnsiTheme="minorEastAsia" w:eastAsiaTheme="minorEastAsia"/>
                <w:bCs/>
                <w:kern w:val="0"/>
                <w:sz w:val="26"/>
                <w:szCs w:val="26"/>
                <w:lang w:val="en-US" w:eastAsia="zh-CN" w:bidi="ar-SA"/>
                <w14:ligatures w14:val="standardContextual"/>
              </w:rPr>
            </w:pPr>
            <w:r>
              <w:rPr>
                <w:rFonts w:hint="eastAsia" w:cs="Times New Roman" w:asciiTheme="minorEastAsia" w:hAnsiTheme="minorEastAsia" w:eastAsiaTheme="minorEastAsia"/>
                <w:bCs/>
                <w:kern w:val="0"/>
                <w:sz w:val="26"/>
                <w:szCs w:val="26"/>
                <w:lang w:val="en-US" w:eastAsia="zh-CN" w:bidi="ar-SA"/>
                <w14:ligatures w14:val="standardContextual"/>
              </w:rPr>
              <w:t>报价部分</w:t>
            </w:r>
          </w:p>
          <w:p w14:paraId="00EA5B53">
            <w:pPr>
              <w:spacing w:line="420" w:lineRule="exact"/>
              <w:rPr>
                <w:rFonts w:hint="eastAsia" w:cs="Times New Roman" w:asciiTheme="minorEastAsia" w:hAnsiTheme="minorEastAsia" w:eastAsiaTheme="minorEastAsia"/>
                <w:bCs/>
                <w:kern w:val="0"/>
                <w:sz w:val="26"/>
                <w:szCs w:val="26"/>
                <w:lang w:val="en-US" w:eastAsia="zh-CN" w:bidi="ar-SA"/>
                <w14:ligatures w14:val="standardContextual"/>
              </w:rPr>
            </w:pPr>
            <w:r>
              <w:rPr>
                <w:rFonts w:hint="eastAsia" w:cs="Times New Roman" w:asciiTheme="minorEastAsia" w:hAnsiTheme="minorEastAsia" w:eastAsiaTheme="minorEastAsia"/>
                <w:bCs/>
                <w:kern w:val="0"/>
                <w:sz w:val="26"/>
                <w:szCs w:val="26"/>
                <w:lang w:val="en-US" w:eastAsia="zh-CN" w:bidi="ar-SA"/>
                <w14:ligatures w14:val="standardContextual"/>
              </w:rPr>
              <w:t>评分办法</w:t>
            </w:r>
          </w:p>
        </w:tc>
        <w:tc>
          <w:tcPr>
            <w:tcW w:w="973" w:type="dxa"/>
            <w:gridSpan w:val="2"/>
            <w:tcBorders>
              <w:top w:val="single" w:color="auto" w:sz="4" w:space="0"/>
              <w:left w:val="single" w:color="auto" w:sz="4" w:space="0"/>
              <w:bottom w:val="single" w:color="auto" w:sz="4" w:space="0"/>
              <w:right w:val="single" w:color="auto" w:sz="4" w:space="0"/>
            </w:tcBorders>
            <w:vAlign w:val="center"/>
          </w:tcPr>
          <w:p w14:paraId="7B6322A8">
            <w:pPr>
              <w:spacing w:line="420" w:lineRule="exact"/>
              <w:rPr>
                <w:rFonts w:hint="eastAsia" w:cs="Times New Roman" w:asciiTheme="minorEastAsia" w:hAnsiTheme="minorEastAsia" w:eastAsiaTheme="minorEastAsia"/>
                <w:bCs/>
                <w:kern w:val="0"/>
                <w:sz w:val="26"/>
                <w:szCs w:val="26"/>
                <w:lang w:val="en-US" w:eastAsia="zh-CN" w:bidi="ar-SA"/>
                <w14:ligatures w14:val="standardContextual"/>
              </w:rPr>
            </w:pPr>
            <w:r>
              <w:rPr>
                <w:rFonts w:hint="eastAsia" w:cs="Times New Roman" w:asciiTheme="minorEastAsia" w:hAnsiTheme="minorEastAsia" w:eastAsiaTheme="minorEastAsia"/>
                <w:bCs/>
                <w:kern w:val="0"/>
                <w:sz w:val="26"/>
                <w:szCs w:val="26"/>
                <w:lang w:val="en-US" w:eastAsia="zh-CN" w:bidi="ar-SA"/>
                <w14:ligatures w14:val="standardContextual"/>
              </w:rPr>
              <w:t>10分</w:t>
            </w:r>
          </w:p>
        </w:tc>
        <w:tc>
          <w:tcPr>
            <w:tcW w:w="4956" w:type="dxa"/>
            <w:gridSpan w:val="2"/>
            <w:tcBorders>
              <w:top w:val="single" w:color="auto" w:sz="4" w:space="0"/>
              <w:left w:val="single" w:color="auto" w:sz="4" w:space="0"/>
              <w:bottom w:val="single" w:color="auto" w:sz="4" w:space="0"/>
              <w:right w:val="single" w:color="auto" w:sz="4" w:space="0"/>
            </w:tcBorders>
            <w:vAlign w:val="center"/>
          </w:tcPr>
          <w:p w14:paraId="530FDDBD">
            <w:pPr>
              <w:spacing w:line="420" w:lineRule="exact"/>
              <w:rPr>
                <w:rFonts w:hint="eastAsia" w:cs="Times New Roman" w:asciiTheme="minorEastAsia" w:hAnsiTheme="minorEastAsia" w:eastAsiaTheme="minorEastAsia"/>
                <w:bCs/>
                <w:kern w:val="0"/>
                <w:sz w:val="26"/>
                <w:szCs w:val="26"/>
                <w:lang w:val="en-US" w:eastAsia="zh-CN" w:bidi="ar-SA"/>
                <w14:ligatures w14:val="standardContextual"/>
              </w:rPr>
            </w:pPr>
            <w:r>
              <w:rPr>
                <w:rFonts w:hint="eastAsia" w:cs="Times New Roman" w:asciiTheme="minorEastAsia" w:hAnsiTheme="minorEastAsia" w:eastAsiaTheme="minorEastAsia"/>
                <w:bCs/>
                <w:kern w:val="0"/>
                <w:sz w:val="26"/>
                <w:szCs w:val="26"/>
                <w:lang w:val="en-US" w:eastAsia="zh-CN" w:bidi="ar-SA"/>
                <w14:ligatures w14:val="standardContextual"/>
              </w:rPr>
              <w:t>投标人的投标总价经修正后，计算出报价评标价，评委将按下列方法计算合格投标人的报价部分得分。</w:t>
            </w:r>
          </w:p>
          <w:p w14:paraId="739A6C99">
            <w:pPr>
              <w:snapToGrid w:val="0"/>
              <w:ind w:firstLine="960" w:firstLineChars="400"/>
              <w:rPr>
                <w:rFonts w:ascii="宋体" w:hAnsi="宋体" w:cs="宋体"/>
                <w:sz w:val="24"/>
              </w:rPr>
            </w:pPr>
            <w:r>
              <w:rPr>
                <w:rFonts w:hint="eastAsia" w:ascii="宋体" w:hAnsi="宋体" w:cs="宋体"/>
                <w:sz w:val="24"/>
              </w:rPr>
              <w:t>∣F-Fn∣</w:t>
            </w:r>
          </w:p>
          <w:p w14:paraId="6E40390E">
            <w:pPr>
              <w:snapToGrid w:val="0"/>
              <w:rPr>
                <w:rFonts w:ascii="宋体" w:hAnsi="宋体" w:cs="宋体"/>
                <w:sz w:val="24"/>
              </w:rPr>
            </w:pPr>
            <w:r>
              <w:rPr>
                <w:rFonts w:hint="eastAsia" w:ascii="宋体" w:hAnsi="宋体" w:cs="宋体"/>
                <w:sz w:val="24"/>
              </w:rPr>
              <w:t>PF=</w:t>
            </w:r>
            <w:r>
              <w:rPr>
                <w:rFonts w:hint="eastAsia" w:ascii="宋体" w:hAnsi="宋体" w:cs="宋体"/>
                <w:sz w:val="24"/>
                <w:lang w:val="en-US" w:eastAsia="zh-CN"/>
              </w:rPr>
              <w:t>10</w:t>
            </w:r>
            <w:r>
              <w:rPr>
                <w:rFonts w:hint="eastAsia" w:ascii="宋体" w:hAnsi="宋体" w:cs="宋体"/>
                <w:sz w:val="24"/>
              </w:rPr>
              <w:t>- —————</w:t>
            </w:r>
            <w:r>
              <w:rPr>
                <w:rFonts w:hint="eastAsia"/>
              </w:rPr>
              <w:t>×</w:t>
            </w:r>
            <w:r>
              <w:rPr>
                <w:rFonts w:hint="eastAsia" w:ascii="宋体" w:hAnsi="宋体" w:cs="宋体"/>
                <w:sz w:val="24"/>
                <w:lang w:val="en-US" w:eastAsia="zh-CN"/>
              </w:rPr>
              <w:t>10</w:t>
            </w:r>
            <w:r>
              <w:rPr>
                <w:rFonts w:hint="eastAsia"/>
              </w:rPr>
              <w:t>×Q</w:t>
            </w:r>
          </w:p>
          <w:p w14:paraId="36201CE9">
            <w:pPr>
              <w:snapToGrid w:val="0"/>
              <w:ind w:firstLine="1320" w:firstLineChars="550"/>
              <w:rPr>
                <w:rFonts w:ascii="宋体" w:hAnsi="宋体" w:cs="宋体"/>
                <w:sz w:val="24"/>
              </w:rPr>
            </w:pPr>
            <w:r>
              <w:rPr>
                <w:rFonts w:hint="eastAsia" w:ascii="宋体" w:hAnsi="宋体" w:cs="宋体"/>
                <w:sz w:val="24"/>
              </w:rPr>
              <w:t>Fn</w:t>
            </w:r>
          </w:p>
          <w:p w14:paraId="01B17A37">
            <w:pPr>
              <w:spacing w:line="420" w:lineRule="exact"/>
              <w:rPr>
                <w:rFonts w:hint="eastAsia" w:cs="Times New Roman" w:asciiTheme="minorEastAsia" w:hAnsiTheme="minorEastAsia" w:eastAsiaTheme="minorEastAsia"/>
                <w:bCs/>
                <w:kern w:val="0"/>
                <w:sz w:val="26"/>
                <w:szCs w:val="26"/>
                <w:lang w:val="en-US" w:eastAsia="zh-CN" w:bidi="ar-SA"/>
                <w14:ligatures w14:val="standardContextual"/>
              </w:rPr>
            </w:pPr>
            <w:r>
              <w:rPr>
                <w:rFonts w:hint="eastAsia" w:cs="Times New Roman" w:asciiTheme="minorEastAsia" w:hAnsiTheme="minorEastAsia" w:eastAsiaTheme="minorEastAsia"/>
                <w:bCs/>
                <w:kern w:val="0"/>
                <w:sz w:val="26"/>
                <w:szCs w:val="26"/>
                <w:lang w:val="en-US" w:eastAsia="zh-CN" w:bidi="ar-SA"/>
                <w14:ligatures w14:val="standardContextual"/>
              </w:rPr>
              <w:t>PF：投标人的投标报价得分</w:t>
            </w:r>
          </w:p>
          <w:p w14:paraId="4E5A64BC">
            <w:pPr>
              <w:spacing w:line="420" w:lineRule="exact"/>
              <w:rPr>
                <w:rFonts w:hint="eastAsia" w:cs="Times New Roman" w:asciiTheme="minorEastAsia" w:hAnsiTheme="minorEastAsia" w:eastAsiaTheme="minorEastAsia"/>
                <w:bCs/>
                <w:kern w:val="0"/>
                <w:sz w:val="26"/>
                <w:szCs w:val="26"/>
                <w:lang w:val="en-US" w:eastAsia="zh-CN" w:bidi="ar-SA"/>
                <w14:ligatures w14:val="standardContextual"/>
              </w:rPr>
            </w:pPr>
            <w:r>
              <w:rPr>
                <w:rFonts w:hint="eastAsia" w:cs="Times New Roman" w:asciiTheme="minorEastAsia" w:hAnsiTheme="minorEastAsia" w:eastAsiaTheme="minorEastAsia"/>
                <w:bCs/>
                <w:kern w:val="0"/>
                <w:sz w:val="26"/>
                <w:szCs w:val="26"/>
                <w:lang w:val="en-US" w:eastAsia="zh-CN" w:bidi="ar-SA"/>
                <w14:ligatures w14:val="standardContextual"/>
              </w:rPr>
              <w:t>F：各合格投标人报价</w:t>
            </w:r>
          </w:p>
          <w:p w14:paraId="16E2BF40">
            <w:pPr>
              <w:spacing w:line="420" w:lineRule="exact"/>
              <w:rPr>
                <w:rFonts w:hint="eastAsia" w:cs="Times New Roman" w:asciiTheme="minorEastAsia" w:hAnsiTheme="minorEastAsia" w:eastAsiaTheme="minorEastAsia"/>
                <w:bCs/>
                <w:kern w:val="0"/>
                <w:sz w:val="26"/>
                <w:szCs w:val="26"/>
                <w:lang w:val="en-US" w:eastAsia="zh-CN" w:bidi="ar-SA"/>
                <w14:ligatures w14:val="standardContextual"/>
              </w:rPr>
            </w:pPr>
            <w:r>
              <w:rPr>
                <w:rFonts w:hint="eastAsia" w:cs="Times New Roman" w:asciiTheme="minorEastAsia" w:hAnsiTheme="minorEastAsia" w:eastAsiaTheme="minorEastAsia"/>
                <w:bCs/>
                <w:kern w:val="0"/>
                <w:sz w:val="26"/>
                <w:szCs w:val="26"/>
                <w:lang w:val="en-US" w:eastAsia="zh-CN" w:bidi="ar-SA"/>
                <w14:ligatures w14:val="standardContextual"/>
              </w:rPr>
              <w:t>Fn：评标基准价，为合格投标人报价的平均价</w:t>
            </w:r>
          </w:p>
          <w:p w14:paraId="58FC2034">
            <w:pPr>
              <w:spacing w:line="420" w:lineRule="exact"/>
              <w:rPr>
                <w:rFonts w:hint="eastAsia" w:cs="Times New Roman" w:asciiTheme="minorEastAsia" w:hAnsiTheme="minorEastAsia" w:eastAsiaTheme="minorEastAsia"/>
                <w:bCs/>
                <w:kern w:val="0"/>
                <w:sz w:val="26"/>
                <w:szCs w:val="26"/>
                <w:lang w:val="en-US" w:eastAsia="zh-CN" w:bidi="ar-SA"/>
                <w14:ligatures w14:val="standardContextual"/>
              </w:rPr>
            </w:pPr>
            <w:r>
              <w:rPr>
                <w:rFonts w:hint="eastAsia" w:cs="Times New Roman" w:asciiTheme="minorEastAsia" w:hAnsiTheme="minorEastAsia" w:eastAsiaTheme="minorEastAsia"/>
                <w:bCs/>
                <w:kern w:val="0"/>
                <w:sz w:val="26"/>
                <w:szCs w:val="26"/>
                <w:lang w:val="en-US" w:eastAsia="zh-CN" w:bidi="ar-SA"/>
                <w14:ligatures w14:val="standardContextual"/>
              </w:rPr>
              <w:t>Q：F≥Fn，Q=0.2；F＜Fn，Q=0.4</w:t>
            </w:r>
          </w:p>
        </w:tc>
      </w:tr>
      <w:tr w14:paraId="5D467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761" w:type="dxa"/>
            <w:tcBorders>
              <w:top w:val="single" w:color="auto" w:sz="4" w:space="0"/>
              <w:left w:val="single" w:color="auto" w:sz="4" w:space="0"/>
              <w:bottom w:val="single" w:color="auto" w:sz="4" w:space="0"/>
              <w:right w:val="single" w:color="auto" w:sz="4" w:space="0"/>
            </w:tcBorders>
            <w:vAlign w:val="center"/>
          </w:tcPr>
          <w:p w14:paraId="51B91B2F">
            <w:pPr>
              <w:spacing w:line="420" w:lineRule="exact"/>
              <w:rPr>
                <w:rFonts w:hint="eastAsia" w:cs="Times New Roman" w:asciiTheme="minorEastAsia" w:hAnsiTheme="minorEastAsia" w:eastAsiaTheme="minorEastAsia"/>
                <w:bCs/>
                <w:kern w:val="0"/>
                <w:sz w:val="26"/>
                <w:szCs w:val="26"/>
                <w:lang w:val="en-US" w:eastAsia="zh-CN" w:bidi="ar-SA"/>
                <w14:ligatures w14:val="standardContextual"/>
              </w:rPr>
            </w:pPr>
            <w:r>
              <w:rPr>
                <w:rFonts w:hint="eastAsia" w:cs="Times New Roman" w:asciiTheme="minorEastAsia" w:hAnsiTheme="minorEastAsia" w:eastAsiaTheme="minorEastAsia"/>
                <w:bCs/>
                <w:kern w:val="0"/>
                <w:sz w:val="26"/>
                <w:szCs w:val="26"/>
                <w:lang w:val="en-US" w:eastAsia="zh-CN" w:bidi="ar-SA"/>
                <w14:ligatures w14:val="standardContextual"/>
              </w:rPr>
              <w:t>B</w:t>
            </w:r>
          </w:p>
        </w:tc>
        <w:tc>
          <w:tcPr>
            <w:tcW w:w="7430" w:type="dxa"/>
            <w:gridSpan w:val="5"/>
            <w:tcBorders>
              <w:top w:val="single" w:color="auto" w:sz="4" w:space="0"/>
              <w:left w:val="single" w:color="auto" w:sz="4" w:space="0"/>
              <w:bottom w:val="single" w:color="auto" w:sz="4" w:space="0"/>
              <w:right w:val="single" w:color="auto" w:sz="4" w:space="0"/>
            </w:tcBorders>
            <w:vAlign w:val="center"/>
          </w:tcPr>
          <w:p w14:paraId="7F284BB5">
            <w:pPr>
              <w:spacing w:line="420" w:lineRule="exact"/>
              <w:rPr>
                <w:rFonts w:hint="eastAsia" w:cs="Times New Roman" w:asciiTheme="minorEastAsia" w:hAnsiTheme="minorEastAsia" w:eastAsiaTheme="minorEastAsia"/>
                <w:bCs/>
                <w:kern w:val="0"/>
                <w:sz w:val="26"/>
                <w:szCs w:val="26"/>
                <w:lang w:val="en-US" w:eastAsia="zh-CN" w:bidi="ar-SA"/>
                <w14:ligatures w14:val="standardContextual"/>
              </w:rPr>
            </w:pPr>
            <w:r>
              <w:rPr>
                <w:rFonts w:hint="eastAsia" w:cs="Times New Roman" w:asciiTheme="minorEastAsia" w:hAnsiTheme="minorEastAsia" w:eastAsiaTheme="minorEastAsia"/>
                <w:bCs/>
                <w:kern w:val="0"/>
                <w:sz w:val="26"/>
                <w:szCs w:val="26"/>
                <w:lang w:val="en-US" w:eastAsia="zh-CN" w:bidi="ar-SA"/>
                <w14:ligatures w14:val="standardContextual"/>
              </w:rPr>
              <w:t>技术服务评分：满分72分。</w:t>
            </w:r>
          </w:p>
        </w:tc>
      </w:tr>
      <w:tr w14:paraId="2BD3E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761" w:type="dxa"/>
            <w:vMerge w:val="restart"/>
            <w:tcBorders>
              <w:top w:val="single" w:color="auto" w:sz="4" w:space="0"/>
              <w:left w:val="single" w:color="auto" w:sz="4" w:space="0"/>
              <w:bottom w:val="single" w:color="auto" w:sz="4" w:space="0"/>
              <w:right w:val="single" w:color="auto" w:sz="4" w:space="0"/>
            </w:tcBorders>
            <w:vAlign w:val="center"/>
          </w:tcPr>
          <w:p w14:paraId="628FE198">
            <w:pPr>
              <w:spacing w:line="420" w:lineRule="exact"/>
              <w:rPr>
                <w:rFonts w:hint="eastAsia" w:cs="Times New Roman" w:asciiTheme="minorEastAsia" w:hAnsiTheme="minorEastAsia" w:eastAsiaTheme="minorEastAsia"/>
                <w:bCs/>
                <w:kern w:val="0"/>
                <w:sz w:val="26"/>
                <w:szCs w:val="26"/>
                <w:lang w:val="en-US" w:eastAsia="zh-CN" w:bidi="ar-SA"/>
                <w14:ligatures w14:val="standardContextual"/>
              </w:rPr>
            </w:pPr>
          </w:p>
        </w:tc>
        <w:tc>
          <w:tcPr>
            <w:tcW w:w="1501" w:type="dxa"/>
            <w:tcBorders>
              <w:top w:val="single" w:color="auto" w:sz="4" w:space="0"/>
              <w:left w:val="single" w:color="auto" w:sz="4" w:space="0"/>
              <w:bottom w:val="single" w:color="auto" w:sz="4" w:space="0"/>
              <w:right w:val="single" w:color="auto" w:sz="4" w:space="0"/>
            </w:tcBorders>
            <w:vAlign w:val="center"/>
          </w:tcPr>
          <w:p w14:paraId="7FD8F26F">
            <w:pPr>
              <w:spacing w:line="420" w:lineRule="exact"/>
              <w:rPr>
                <w:rFonts w:hint="eastAsia" w:cs="Times New Roman" w:asciiTheme="minorEastAsia" w:hAnsiTheme="minorEastAsia" w:eastAsiaTheme="minorEastAsia"/>
                <w:bCs/>
                <w:kern w:val="0"/>
                <w:sz w:val="26"/>
                <w:szCs w:val="26"/>
                <w:lang w:val="en-US" w:eastAsia="zh-CN" w:bidi="ar-SA"/>
                <w14:ligatures w14:val="standardContextual"/>
              </w:rPr>
            </w:pPr>
            <w:r>
              <w:rPr>
                <w:rFonts w:hint="eastAsia" w:cs="Times New Roman" w:asciiTheme="minorEastAsia" w:hAnsiTheme="minorEastAsia" w:eastAsiaTheme="minorEastAsia"/>
                <w:bCs/>
                <w:kern w:val="0"/>
                <w:sz w:val="26"/>
                <w:szCs w:val="26"/>
                <w:lang w:val="en-US" w:eastAsia="zh-CN" w:bidi="ar-SA"/>
                <w14:ligatures w14:val="standardContextual"/>
              </w:rPr>
              <w:t>服务内容和要求进行响应</w:t>
            </w:r>
          </w:p>
        </w:tc>
        <w:tc>
          <w:tcPr>
            <w:tcW w:w="973" w:type="dxa"/>
            <w:gridSpan w:val="2"/>
            <w:tcBorders>
              <w:top w:val="single" w:color="auto" w:sz="4" w:space="0"/>
              <w:left w:val="single" w:color="auto" w:sz="4" w:space="0"/>
              <w:bottom w:val="single" w:color="auto" w:sz="4" w:space="0"/>
              <w:right w:val="single" w:color="auto" w:sz="4" w:space="0"/>
            </w:tcBorders>
            <w:vAlign w:val="center"/>
          </w:tcPr>
          <w:p w14:paraId="5028C2E1">
            <w:pPr>
              <w:spacing w:line="420" w:lineRule="exact"/>
              <w:rPr>
                <w:rFonts w:hint="default" w:cs="Times New Roman" w:asciiTheme="minorEastAsia" w:hAnsiTheme="minorEastAsia" w:eastAsiaTheme="minorEastAsia"/>
                <w:bCs/>
                <w:kern w:val="0"/>
                <w:sz w:val="26"/>
                <w:szCs w:val="26"/>
                <w:lang w:val="en-US" w:eastAsia="zh-CN" w:bidi="ar-SA"/>
                <w14:ligatures w14:val="standardContextual"/>
              </w:rPr>
            </w:pPr>
            <w:r>
              <w:rPr>
                <w:rFonts w:hint="eastAsia" w:cs="Times New Roman" w:asciiTheme="minorEastAsia" w:hAnsiTheme="minorEastAsia" w:eastAsiaTheme="minorEastAsia"/>
                <w:bCs/>
                <w:kern w:val="0"/>
                <w:sz w:val="26"/>
                <w:szCs w:val="26"/>
                <w:lang w:val="en-US" w:eastAsia="zh-CN" w:bidi="ar-SA"/>
                <w14:ligatures w14:val="standardContextual"/>
              </w:rPr>
              <w:t>44.00</w:t>
            </w:r>
          </w:p>
        </w:tc>
        <w:tc>
          <w:tcPr>
            <w:tcW w:w="4956" w:type="dxa"/>
            <w:gridSpan w:val="2"/>
            <w:tcBorders>
              <w:top w:val="single" w:color="auto" w:sz="4" w:space="0"/>
              <w:left w:val="single" w:color="auto" w:sz="4" w:space="0"/>
              <w:bottom w:val="single" w:color="auto" w:sz="4" w:space="0"/>
              <w:right w:val="single" w:color="auto" w:sz="4" w:space="0"/>
            </w:tcBorders>
            <w:vAlign w:val="center"/>
          </w:tcPr>
          <w:p w14:paraId="20305227">
            <w:pPr>
              <w:spacing w:line="420" w:lineRule="exact"/>
              <w:rPr>
                <w:rFonts w:hint="eastAsia" w:cs="Times New Roman" w:asciiTheme="minorEastAsia" w:hAnsiTheme="minorEastAsia" w:eastAsiaTheme="minorEastAsia"/>
                <w:bCs/>
                <w:kern w:val="0"/>
                <w:sz w:val="26"/>
                <w:szCs w:val="26"/>
                <w:lang w:val="en-US" w:eastAsia="zh-CN" w:bidi="ar-SA"/>
                <w14:ligatures w14:val="standardContextual"/>
              </w:rPr>
            </w:pPr>
            <w:r>
              <w:rPr>
                <w:rFonts w:hint="eastAsia" w:cs="Times New Roman" w:asciiTheme="minorEastAsia" w:hAnsiTheme="minorEastAsia" w:eastAsiaTheme="minorEastAsia"/>
                <w:bCs/>
                <w:kern w:val="0"/>
                <w:sz w:val="26"/>
                <w:szCs w:val="26"/>
                <w:lang w:val="en-US" w:eastAsia="zh-CN" w:bidi="ar-SA"/>
                <w14:ligatures w14:val="standardContextual"/>
              </w:rPr>
              <w:t>评委根据投标人所要求的服务内容和要求的响应情况进行相应评分：</w:t>
            </w:r>
          </w:p>
          <w:p w14:paraId="5E3712C1">
            <w:pPr>
              <w:numPr>
                <w:ilvl w:val="0"/>
                <w:numId w:val="14"/>
              </w:numPr>
              <w:spacing w:line="420" w:lineRule="exact"/>
              <w:rPr>
                <w:rFonts w:hint="eastAsia" w:cs="Times New Roman" w:asciiTheme="minorEastAsia" w:hAnsiTheme="minorEastAsia" w:eastAsiaTheme="minorEastAsia"/>
                <w:bCs/>
                <w:kern w:val="0"/>
                <w:sz w:val="26"/>
                <w:szCs w:val="26"/>
                <w:lang w:val="en-US" w:eastAsia="zh-CN" w:bidi="ar-SA"/>
                <w14:ligatures w14:val="standardContextual"/>
              </w:rPr>
            </w:pPr>
            <w:r>
              <w:rPr>
                <w:rFonts w:hint="eastAsia" w:cs="Times New Roman" w:asciiTheme="minorEastAsia" w:hAnsiTheme="minorEastAsia" w:eastAsiaTheme="minorEastAsia"/>
                <w:bCs/>
                <w:kern w:val="0"/>
                <w:sz w:val="26"/>
                <w:szCs w:val="26"/>
                <w:lang w:val="en-US" w:eastAsia="zh-CN" w:bidi="ar-SA"/>
                <w14:ligatures w14:val="standardContextual"/>
              </w:rPr>
              <w:t>投标人所提供的服务内容和要求能全部满足招标文件技术要求的得44分。未提供响应表的，此项将不得分，并按无效投标处理。</w:t>
            </w:r>
          </w:p>
          <w:p w14:paraId="1AD9B76C">
            <w:pPr>
              <w:numPr>
                <w:ilvl w:val="0"/>
                <w:numId w:val="14"/>
              </w:numPr>
              <w:spacing w:line="420" w:lineRule="exact"/>
              <w:rPr>
                <w:rFonts w:hint="eastAsia" w:cs="Times New Roman" w:asciiTheme="minorEastAsia" w:hAnsiTheme="minorEastAsia" w:eastAsiaTheme="minorEastAsia"/>
                <w:bCs/>
                <w:kern w:val="0"/>
                <w:sz w:val="26"/>
                <w:szCs w:val="26"/>
                <w:lang w:val="en-US" w:eastAsia="zh-CN" w:bidi="ar-SA"/>
                <w14:ligatures w14:val="standardContextual"/>
              </w:rPr>
            </w:pPr>
            <w:r>
              <w:rPr>
                <w:rFonts w:hint="eastAsia" w:cs="Times New Roman" w:asciiTheme="minorEastAsia" w:hAnsiTheme="minorEastAsia" w:eastAsiaTheme="minorEastAsia"/>
                <w:bCs/>
                <w:kern w:val="0"/>
                <w:sz w:val="26"/>
                <w:szCs w:val="26"/>
                <w:lang w:val="en-US" w:eastAsia="zh-CN" w:bidi="ar-SA"/>
                <w14:ligatures w14:val="standardContextual"/>
              </w:rPr>
              <w:t>不响应本项“服务内容和要求”的任何一条款的，按照无效投标处理。</w:t>
            </w:r>
          </w:p>
        </w:tc>
      </w:tr>
      <w:tr w14:paraId="138AE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1C6BAAB9">
            <w:pPr>
              <w:spacing w:line="420" w:lineRule="exact"/>
              <w:rPr>
                <w:rFonts w:hint="eastAsia" w:cs="Times New Roman" w:asciiTheme="minorEastAsia" w:hAnsiTheme="minorEastAsia" w:eastAsiaTheme="minorEastAsia"/>
                <w:bCs/>
                <w:kern w:val="0"/>
                <w:sz w:val="26"/>
                <w:szCs w:val="26"/>
                <w:lang w:val="en-US" w:eastAsia="zh-CN" w:bidi="ar-SA"/>
                <w14:ligatures w14:val="standardContextual"/>
              </w:rPr>
            </w:pPr>
          </w:p>
        </w:tc>
        <w:tc>
          <w:tcPr>
            <w:tcW w:w="1501" w:type="dxa"/>
            <w:tcBorders>
              <w:top w:val="single" w:color="auto" w:sz="4" w:space="0"/>
              <w:left w:val="single" w:color="auto" w:sz="4" w:space="0"/>
              <w:bottom w:val="single" w:color="auto" w:sz="4" w:space="0"/>
              <w:right w:val="single" w:color="auto" w:sz="4" w:space="0"/>
            </w:tcBorders>
            <w:shd w:val="clear" w:color="auto" w:fill="auto"/>
            <w:vAlign w:val="center"/>
          </w:tcPr>
          <w:p w14:paraId="3FF4B94A">
            <w:pPr>
              <w:spacing w:line="420" w:lineRule="exact"/>
              <w:rPr>
                <w:rFonts w:hint="eastAsia" w:cs="Times New Roman" w:asciiTheme="minorEastAsia" w:hAnsiTheme="minorEastAsia" w:eastAsiaTheme="minorEastAsia"/>
                <w:bCs/>
                <w:kern w:val="0"/>
                <w:sz w:val="26"/>
                <w:szCs w:val="26"/>
                <w:lang w:val="en-US" w:eastAsia="zh-CN" w:bidi="ar-SA"/>
                <w14:ligatures w14:val="standardContextual"/>
              </w:rPr>
            </w:pPr>
            <w:r>
              <w:rPr>
                <w:rFonts w:hint="eastAsia" w:cs="Times New Roman" w:asciiTheme="minorEastAsia" w:hAnsiTheme="minorEastAsia" w:eastAsiaTheme="minorEastAsia"/>
                <w:bCs/>
                <w:kern w:val="0"/>
                <w:sz w:val="26"/>
                <w:szCs w:val="26"/>
                <w:lang w:val="en-US" w:eastAsia="zh-CN" w:bidi="ar-SA"/>
                <w14:ligatures w14:val="standardContextual"/>
              </w:rPr>
              <w:t>2.规划效果方案</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5861AF9">
            <w:pPr>
              <w:spacing w:line="420" w:lineRule="exact"/>
              <w:rPr>
                <w:rFonts w:hint="eastAsia" w:cs="Times New Roman" w:asciiTheme="minorEastAsia" w:hAnsiTheme="minorEastAsia" w:eastAsiaTheme="minorEastAsia"/>
                <w:bCs/>
                <w:kern w:val="0"/>
                <w:sz w:val="26"/>
                <w:szCs w:val="26"/>
                <w:lang w:val="en-US" w:eastAsia="zh-CN" w:bidi="ar-SA"/>
                <w14:ligatures w14:val="standardContextual"/>
              </w:rPr>
            </w:pPr>
            <w:r>
              <w:rPr>
                <w:rFonts w:hint="eastAsia" w:cs="Times New Roman" w:asciiTheme="minorEastAsia" w:hAnsiTheme="minorEastAsia" w:eastAsiaTheme="minorEastAsia"/>
                <w:bCs/>
                <w:kern w:val="0"/>
                <w:sz w:val="26"/>
                <w:szCs w:val="26"/>
                <w:lang w:val="en-US" w:eastAsia="zh-CN" w:bidi="ar-SA"/>
                <w14:ligatures w14:val="standardContextual"/>
              </w:rPr>
              <w:t>3.00</w:t>
            </w:r>
          </w:p>
        </w:tc>
        <w:tc>
          <w:tcPr>
            <w:tcW w:w="495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3DB11D3">
            <w:pPr>
              <w:spacing w:line="420" w:lineRule="exact"/>
              <w:rPr>
                <w:rFonts w:hint="eastAsia" w:cs="Times New Roman" w:asciiTheme="minorEastAsia" w:hAnsiTheme="minorEastAsia" w:eastAsiaTheme="minorEastAsia"/>
                <w:bCs/>
                <w:kern w:val="0"/>
                <w:sz w:val="26"/>
                <w:szCs w:val="26"/>
                <w:lang w:val="en-US" w:eastAsia="zh-CN" w:bidi="ar-SA"/>
                <w14:ligatures w14:val="standardContextual"/>
              </w:rPr>
            </w:pPr>
            <w:r>
              <w:rPr>
                <w:rFonts w:hint="eastAsia" w:cs="Times New Roman" w:asciiTheme="minorEastAsia" w:hAnsiTheme="minorEastAsia" w:eastAsiaTheme="minorEastAsia"/>
                <w:bCs/>
                <w:kern w:val="0"/>
                <w:sz w:val="26"/>
                <w:szCs w:val="26"/>
                <w:highlight w:val="none"/>
                <w:lang w:val="en-US" w:eastAsia="zh-CN" w:bidi="ar-SA"/>
                <w14:ligatures w14:val="standardContextual"/>
              </w:rPr>
              <w:t>根据投标人提供的功能布局规划方案情况进行评议，投标人需提供至少1张符合本项目需求的功能布局规划效果图（附设计及效果图），由评标委员会进行评议,方案所包含的要点齐全、规划布局合理美观，具有可操作性的得3分；方案所包含的要点齐全、规划布局较为合理美观，内容相对简略，具有可操作性的得2.9分；方案所包含的要点缺项，规划布局不合理美观，可操作性不明显的得2.8分。操作</w:t>
            </w:r>
            <w:r>
              <w:rPr>
                <w:rFonts w:hint="eastAsia" w:cs="Times New Roman" w:asciiTheme="minorEastAsia" w:hAnsiTheme="minorEastAsia" w:eastAsiaTheme="minorEastAsia"/>
                <w:bCs/>
                <w:kern w:val="0"/>
                <w:sz w:val="26"/>
                <w:szCs w:val="26"/>
                <w:lang w:val="en-US" w:eastAsia="zh-CN" w:bidi="ar-SA"/>
                <w14:ligatures w14:val="standardContextual"/>
              </w:rPr>
              <w:t>性不强或未提供本项不得分。（满分3分）</w:t>
            </w:r>
          </w:p>
        </w:tc>
      </w:tr>
      <w:tr w14:paraId="53E60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6D154FE4">
            <w:pPr>
              <w:spacing w:line="420" w:lineRule="exact"/>
              <w:rPr>
                <w:rFonts w:hint="eastAsia" w:cs="Times New Roman" w:asciiTheme="minorEastAsia" w:hAnsiTheme="minorEastAsia" w:eastAsiaTheme="minorEastAsia"/>
                <w:bCs/>
                <w:kern w:val="0"/>
                <w:sz w:val="26"/>
                <w:szCs w:val="26"/>
                <w:lang w:val="en-US" w:eastAsia="zh-CN" w:bidi="ar-SA"/>
                <w14:ligatures w14:val="standardContextual"/>
              </w:rPr>
            </w:pPr>
          </w:p>
        </w:tc>
        <w:tc>
          <w:tcPr>
            <w:tcW w:w="1501" w:type="dxa"/>
            <w:tcBorders>
              <w:top w:val="single" w:color="auto" w:sz="4" w:space="0"/>
              <w:left w:val="single" w:color="auto" w:sz="4" w:space="0"/>
              <w:bottom w:val="single" w:color="auto" w:sz="4" w:space="0"/>
              <w:right w:val="single" w:color="auto" w:sz="4" w:space="0"/>
            </w:tcBorders>
            <w:shd w:val="clear" w:color="auto" w:fill="auto"/>
            <w:vAlign w:val="center"/>
          </w:tcPr>
          <w:p w14:paraId="2C0E4C93">
            <w:pPr>
              <w:spacing w:line="420" w:lineRule="exact"/>
              <w:rPr>
                <w:rFonts w:hint="eastAsia" w:cs="Times New Roman" w:asciiTheme="minorEastAsia" w:hAnsiTheme="minorEastAsia" w:eastAsiaTheme="minorEastAsia"/>
                <w:bCs/>
                <w:kern w:val="0"/>
                <w:sz w:val="26"/>
                <w:szCs w:val="26"/>
                <w:lang w:val="en-US" w:eastAsia="zh-CN" w:bidi="ar-SA"/>
                <w14:ligatures w14:val="standardContextual"/>
              </w:rPr>
            </w:pPr>
            <w:r>
              <w:rPr>
                <w:rFonts w:hint="eastAsia" w:cs="Times New Roman" w:asciiTheme="minorEastAsia" w:hAnsiTheme="minorEastAsia" w:eastAsiaTheme="minorEastAsia"/>
                <w:bCs/>
                <w:kern w:val="0"/>
                <w:sz w:val="26"/>
                <w:szCs w:val="26"/>
                <w:lang w:val="en-US" w:eastAsia="zh-CN" w:bidi="ar-SA"/>
                <w14:ligatures w14:val="standardContextual"/>
              </w:rPr>
              <w:t>4.投诉处理方案</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2E26A4B">
            <w:pPr>
              <w:spacing w:line="420" w:lineRule="exact"/>
              <w:rPr>
                <w:rFonts w:hint="eastAsia" w:cs="Times New Roman" w:asciiTheme="minorEastAsia" w:hAnsiTheme="minorEastAsia" w:eastAsiaTheme="minorEastAsia"/>
                <w:bCs/>
                <w:kern w:val="0"/>
                <w:sz w:val="26"/>
                <w:szCs w:val="26"/>
                <w:lang w:val="en-US" w:eastAsia="zh-CN" w:bidi="ar-SA"/>
                <w14:ligatures w14:val="standardContextual"/>
              </w:rPr>
            </w:pPr>
            <w:r>
              <w:rPr>
                <w:rFonts w:hint="eastAsia" w:cs="Times New Roman" w:asciiTheme="minorEastAsia" w:hAnsiTheme="minorEastAsia" w:eastAsiaTheme="minorEastAsia"/>
                <w:bCs/>
                <w:kern w:val="0"/>
                <w:sz w:val="26"/>
                <w:szCs w:val="26"/>
                <w:lang w:val="en-US" w:eastAsia="zh-CN" w:bidi="ar-SA"/>
                <w14:ligatures w14:val="standardContextual"/>
              </w:rPr>
              <w:t>3.00</w:t>
            </w:r>
          </w:p>
        </w:tc>
        <w:tc>
          <w:tcPr>
            <w:tcW w:w="4956"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6469E7DC">
            <w:pPr>
              <w:spacing w:line="420" w:lineRule="exact"/>
              <w:rPr>
                <w:rFonts w:hint="eastAsia" w:cs="Times New Roman" w:asciiTheme="minorEastAsia" w:hAnsiTheme="minorEastAsia" w:eastAsiaTheme="minorEastAsia"/>
                <w:bCs/>
                <w:kern w:val="0"/>
                <w:sz w:val="26"/>
                <w:szCs w:val="26"/>
                <w:lang w:val="en-US" w:eastAsia="zh-Hans" w:bidi="ar-SA"/>
                <w14:ligatures w14:val="standardContextual"/>
              </w:rPr>
            </w:pPr>
            <w:r>
              <w:rPr>
                <w:rFonts w:hint="eastAsia" w:cs="Times New Roman" w:asciiTheme="minorEastAsia" w:hAnsiTheme="minorEastAsia" w:eastAsiaTheme="minorEastAsia"/>
                <w:bCs/>
                <w:kern w:val="0"/>
                <w:sz w:val="26"/>
                <w:szCs w:val="26"/>
                <w:lang w:val="en-US" w:eastAsia="zh-CN" w:bidi="ar-SA"/>
                <w14:ligatures w14:val="standardContextual"/>
              </w:rPr>
              <w:t>根据投标人提供的投诉处理方案（包括延误、服务态度、问题跟进解决等内容），由评标委员会进行评议,方案所包含的要点齐全、内容与要点相符、内容详实，具有可操作性的得3分；方案所包含的要点齐全、内容与要点相符，内容相对简略，具有可操作性的得2.9分；方案所包含的要点缺项，内容与要点相符，内容相对简略，可操作性不明显的得2.8分。操作性不强或未提供本项不得分。（满分3分）</w:t>
            </w:r>
          </w:p>
        </w:tc>
      </w:tr>
      <w:tr w14:paraId="17D00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340ECDF9">
            <w:pPr>
              <w:spacing w:line="420" w:lineRule="exact"/>
              <w:rPr>
                <w:rFonts w:hint="eastAsia" w:cs="Times New Roman" w:asciiTheme="minorEastAsia" w:hAnsiTheme="minorEastAsia" w:eastAsiaTheme="minorEastAsia"/>
                <w:bCs/>
                <w:kern w:val="0"/>
                <w:sz w:val="26"/>
                <w:szCs w:val="26"/>
                <w:lang w:val="en-US" w:eastAsia="zh-CN" w:bidi="ar-SA"/>
                <w14:ligatures w14:val="standardContextual"/>
              </w:rPr>
            </w:pPr>
          </w:p>
        </w:tc>
        <w:tc>
          <w:tcPr>
            <w:tcW w:w="1501" w:type="dxa"/>
            <w:tcBorders>
              <w:top w:val="single" w:color="auto" w:sz="4" w:space="0"/>
              <w:left w:val="single" w:color="auto" w:sz="4" w:space="0"/>
              <w:bottom w:val="single" w:color="auto" w:sz="4" w:space="0"/>
              <w:right w:val="single" w:color="auto" w:sz="4" w:space="0"/>
            </w:tcBorders>
            <w:shd w:val="clear" w:color="auto" w:fill="auto"/>
            <w:vAlign w:val="center"/>
          </w:tcPr>
          <w:p w14:paraId="0D7CB105">
            <w:pPr>
              <w:spacing w:line="420" w:lineRule="exact"/>
              <w:rPr>
                <w:rFonts w:hint="eastAsia" w:cs="Times New Roman" w:asciiTheme="minorEastAsia" w:hAnsiTheme="minorEastAsia" w:eastAsiaTheme="minorEastAsia"/>
                <w:bCs/>
                <w:kern w:val="0"/>
                <w:sz w:val="26"/>
                <w:szCs w:val="26"/>
                <w:lang w:val="en-US" w:eastAsia="zh-CN" w:bidi="ar-SA"/>
                <w14:ligatures w14:val="standardContextual"/>
              </w:rPr>
            </w:pPr>
            <w:r>
              <w:rPr>
                <w:rFonts w:hint="eastAsia" w:cs="Times New Roman" w:asciiTheme="minorEastAsia" w:hAnsiTheme="minorEastAsia" w:eastAsiaTheme="minorEastAsia"/>
                <w:bCs/>
                <w:kern w:val="0"/>
                <w:sz w:val="26"/>
                <w:szCs w:val="26"/>
                <w:lang w:val="en-US" w:eastAsia="zh-CN" w:bidi="ar-SA"/>
                <w14:ligatures w14:val="standardContextual"/>
              </w:rPr>
              <w:t>5.项目运营方案</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5AAF7BD">
            <w:pPr>
              <w:spacing w:line="420" w:lineRule="exact"/>
              <w:rPr>
                <w:rFonts w:hint="default" w:cs="Times New Roman" w:asciiTheme="minorEastAsia" w:hAnsiTheme="minorEastAsia" w:eastAsiaTheme="minorEastAsia"/>
                <w:bCs/>
                <w:kern w:val="0"/>
                <w:sz w:val="26"/>
                <w:szCs w:val="26"/>
                <w:lang w:val="en-US" w:eastAsia="zh-CN" w:bidi="ar-SA"/>
                <w14:ligatures w14:val="standardContextual"/>
              </w:rPr>
            </w:pPr>
            <w:r>
              <w:rPr>
                <w:rFonts w:hint="eastAsia" w:cs="Times New Roman" w:asciiTheme="minorEastAsia" w:hAnsiTheme="minorEastAsia" w:eastAsiaTheme="minorEastAsia"/>
                <w:bCs/>
                <w:kern w:val="0"/>
                <w:sz w:val="26"/>
                <w:szCs w:val="26"/>
                <w:lang w:val="en-US" w:eastAsia="zh-CN" w:bidi="ar-SA"/>
                <w14:ligatures w14:val="standardContextual"/>
              </w:rPr>
              <w:t>3.00</w:t>
            </w:r>
          </w:p>
        </w:tc>
        <w:tc>
          <w:tcPr>
            <w:tcW w:w="4956"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1E5795D6">
            <w:pPr>
              <w:spacing w:line="420" w:lineRule="exact"/>
              <w:rPr>
                <w:rFonts w:hint="eastAsia" w:cs="Times New Roman" w:asciiTheme="minorEastAsia" w:hAnsiTheme="minorEastAsia" w:eastAsiaTheme="minorEastAsia"/>
                <w:bCs/>
                <w:kern w:val="0"/>
                <w:sz w:val="26"/>
                <w:szCs w:val="26"/>
                <w:lang w:val="en-US" w:eastAsia="zh-Hans" w:bidi="ar-SA"/>
                <w14:ligatures w14:val="standardContextual"/>
              </w:rPr>
            </w:pPr>
            <w:r>
              <w:rPr>
                <w:rFonts w:hint="eastAsia" w:cs="Times New Roman" w:asciiTheme="minorEastAsia" w:hAnsiTheme="minorEastAsia" w:eastAsiaTheme="minorEastAsia"/>
                <w:bCs/>
                <w:kern w:val="0"/>
                <w:sz w:val="26"/>
                <w:szCs w:val="26"/>
                <w:lang w:val="en-US" w:eastAsia="zh-CN" w:bidi="ar-SA"/>
                <w14:ligatures w14:val="standardContextual"/>
              </w:rPr>
              <w:t>根据投标人提供的项目运营方案（包括管理制度，卫生制度和安全制度等内容），由评标委员会进行评议,方案所包含的要点齐全、内容与要点相符、内容详实，具有可操作性的得3分；方案所包含的要点齐全、内容与要点相符，内容相对简略，具有可操作性的得2.9分；方案所包含的要点缺项，内容与要点相符，内容相对简略，可操作性不明显的得2.8分。操作性不强或未提供本项不得分。（满分3分）</w:t>
            </w:r>
          </w:p>
        </w:tc>
      </w:tr>
      <w:tr w14:paraId="09B69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7E7CF146">
            <w:pPr>
              <w:spacing w:line="420" w:lineRule="exact"/>
              <w:rPr>
                <w:rFonts w:hint="eastAsia" w:cs="Times New Roman" w:asciiTheme="minorEastAsia" w:hAnsiTheme="minorEastAsia" w:eastAsiaTheme="minorEastAsia"/>
                <w:bCs/>
                <w:kern w:val="0"/>
                <w:sz w:val="26"/>
                <w:szCs w:val="26"/>
                <w:lang w:val="en-US" w:eastAsia="zh-CN" w:bidi="ar-SA"/>
                <w14:ligatures w14:val="standardContextual"/>
              </w:rPr>
            </w:pPr>
          </w:p>
        </w:tc>
        <w:tc>
          <w:tcPr>
            <w:tcW w:w="1501" w:type="dxa"/>
            <w:tcBorders>
              <w:top w:val="single" w:color="auto" w:sz="4" w:space="0"/>
              <w:left w:val="single" w:color="auto" w:sz="4" w:space="0"/>
              <w:bottom w:val="single" w:color="auto" w:sz="4" w:space="0"/>
              <w:right w:val="single" w:color="auto" w:sz="4" w:space="0"/>
            </w:tcBorders>
            <w:shd w:val="clear" w:color="auto" w:fill="auto"/>
            <w:vAlign w:val="center"/>
          </w:tcPr>
          <w:p w14:paraId="0AED7F1C">
            <w:pPr>
              <w:spacing w:line="420" w:lineRule="exact"/>
              <w:rPr>
                <w:rFonts w:hint="eastAsia" w:cs="Times New Roman" w:asciiTheme="minorEastAsia" w:hAnsiTheme="minorEastAsia" w:eastAsiaTheme="minorEastAsia"/>
                <w:bCs/>
                <w:kern w:val="0"/>
                <w:sz w:val="26"/>
                <w:szCs w:val="26"/>
                <w:lang w:val="en-US" w:eastAsia="zh-CN" w:bidi="ar-SA"/>
                <w14:ligatures w14:val="standardContextual"/>
              </w:rPr>
            </w:pPr>
            <w:r>
              <w:rPr>
                <w:rFonts w:hint="eastAsia" w:cs="Times New Roman" w:asciiTheme="minorEastAsia" w:hAnsiTheme="minorEastAsia" w:eastAsiaTheme="minorEastAsia"/>
                <w:bCs/>
                <w:kern w:val="0"/>
                <w:sz w:val="26"/>
                <w:szCs w:val="26"/>
                <w:lang w:val="en-US" w:eastAsia="zh-CN" w:bidi="ar-SA"/>
                <w14:ligatures w14:val="standardContextual"/>
              </w:rPr>
              <w:t>6.分拣作业</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F57A3A7">
            <w:pPr>
              <w:spacing w:line="420" w:lineRule="exact"/>
              <w:rPr>
                <w:rFonts w:hint="eastAsia" w:cs="Times New Roman" w:asciiTheme="minorEastAsia" w:hAnsiTheme="minorEastAsia" w:eastAsiaTheme="minorEastAsia"/>
                <w:bCs/>
                <w:kern w:val="0"/>
                <w:sz w:val="26"/>
                <w:szCs w:val="26"/>
                <w:lang w:val="en-US" w:eastAsia="zh-CN" w:bidi="ar-SA"/>
                <w14:ligatures w14:val="standardContextual"/>
              </w:rPr>
            </w:pPr>
            <w:r>
              <w:rPr>
                <w:rFonts w:hint="eastAsia" w:cs="Times New Roman" w:asciiTheme="minorEastAsia" w:hAnsiTheme="minorEastAsia" w:eastAsiaTheme="minorEastAsia"/>
                <w:bCs/>
                <w:kern w:val="0"/>
                <w:sz w:val="26"/>
                <w:szCs w:val="26"/>
                <w:lang w:val="en-US" w:eastAsia="zh-CN" w:bidi="ar-SA"/>
                <w14:ligatures w14:val="standardContextual"/>
              </w:rPr>
              <w:t>5.00</w:t>
            </w:r>
          </w:p>
        </w:tc>
        <w:tc>
          <w:tcPr>
            <w:tcW w:w="4956"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39964F48">
            <w:pPr>
              <w:spacing w:line="420" w:lineRule="exact"/>
              <w:rPr>
                <w:rFonts w:hint="eastAsia" w:cs="Times New Roman" w:asciiTheme="minorEastAsia" w:hAnsiTheme="minorEastAsia" w:eastAsiaTheme="minorEastAsia"/>
                <w:bCs/>
                <w:kern w:val="0"/>
                <w:sz w:val="26"/>
                <w:szCs w:val="26"/>
                <w:lang w:val="en-US" w:eastAsia="zh-Hans" w:bidi="ar-SA"/>
                <w14:ligatures w14:val="standardContextual"/>
              </w:rPr>
            </w:pPr>
            <w:r>
              <w:rPr>
                <w:rFonts w:hint="eastAsia" w:cs="Times New Roman" w:asciiTheme="minorEastAsia" w:hAnsiTheme="minorEastAsia" w:eastAsiaTheme="minorEastAsia"/>
                <w:bCs/>
                <w:kern w:val="0"/>
                <w:sz w:val="26"/>
                <w:szCs w:val="26"/>
                <w:lang w:val="en-US" w:eastAsia="zh-CN" w:bidi="ar-SA"/>
                <w14:ligatures w14:val="standardContextual"/>
              </w:rPr>
              <w:t>投标人承诺在分拣作业时，应当规范操作，不得以抛扔、踩踏或者其他危害快件安全的方法处理快件的得5分，提供承诺函（格式自拟）。未提供本项不得分。（满分5分）</w:t>
            </w:r>
          </w:p>
        </w:tc>
      </w:tr>
      <w:tr w14:paraId="3DDA8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3E9E9AB8">
            <w:pPr>
              <w:spacing w:line="420" w:lineRule="exact"/>
              <w:rPr>
                <w:rFonts w:hint="eastAsia" w:cs="Times New Roman" w:asciiTheme="minorEastAsia" w:hAnsiTheme="minorEastAsia" w:eastAsiaTheme="minorEastAsia"/>
                <w:bCs/>
                <w:kern w:val="0"/>
                <w:sz w:val="26"/>
                <w:szCs w:val="26"/>
                <w:lang w:val="en-US" w:eastAsia="zh-CN" w:bidi="ar-SA"/>
                <w14:ligatures w14:val="standardContextual"/>
              </w:rPr>
            </w:pPr>
          </w:p>
        </w:tc>
        <w:tc>
          <w:tcPr>
            <w:tcW w:w="1501" w:type="dxa"/>
            <w:tcBorders>
              <w:top w:val="single" w:color="auto" w:sz="4" w:space="0"/>
              <w:left w:val="single" w:color="auto" w:sz="4" w:space="0"/>
              <w:bottom w:val="single" w:color="auto" w:sz="4" w:space="0"/>
              <w:right w:val="single" w:color="auto" w:sz="4" w:space="0"/>
            </w:tcBorders>
            <w:shd w:val="clear" w:color="auto" w:fill="auto"/>
            <w:vAlign w:val="center"/>
          </w:tcPr>
          <w:p w14:paraId="4ACD259C">
            <w:pPr>
              <w:spacing w:line="420" w:lineRule="exact"/>
              <w:rPr>
                <w:rFonts w:hint="eastAsia" w:cs="Times New Roman" w:asciiTheme="minorEastAsia" w:hAnsiTheme="minorEastAsia" w:eastAsiaTheme="minorEastAsia"/>
                <w:bCs/>
                <w:kern w:val="0"/>
                <w:sz w:val="26"/>
                <w:szCs w:val="26"/>
                <w:lang w:val="en-US" w:eastAsia="zh-CN" w:bidi="ar-SA"/>
                <w14:ligatures w14:val="standardContextual"/>
              </w:rPr>
            </w:pPr>
            <w:r>
              <w:rPr>
                <w:rFonts w:hint="eastAsia" w:cs="Times New Roman" w:asciiTheme="minorEastAsia" w:hAnsiTheme="minorEastAsia" w:eastAsiaTheme="minorEastAsia"/>
                <w:bCs/>
                <w:kern w:val="0"/>
                <w:sz w:val="26"/>
                <w:szCs w:val="26"/>
                <w:lang w:val="en-US" w:eastAsia="zh-CN" w:bidi="ar-SA"/>
                <w14:ligatures w14:val="standardContextual"/>
              </w:rPr>
              <w:t>7.设备设施配置</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B6F8455">
            <w:pPr>
              <w:spacing w:line="420" w:lineRule="exact"/>
              <w:rPr>
                <w:rFonts w:hint="eastAsia" w:cs="Times New Roman" w:asciiTheme="minorEastAsia" w:hAnsiTheme="minorEastAsia" w:eastAsiaTheme="minorEastAsia"/>
                <w:bCs/>
                <w:kern w:val="0"/>
                <w:sz w:val="26"/>
                <w:szCs w:val="26"/>
                <w:lang w:val="en-US" w:eastAsia="zh-CN" w:bidi="ar-SA"/>
                <w14:ligatures w14:val="standardContextual"/>
              </w:rPr>
            </w:pPr>
            <w:r>
              <w:rPr>
                <w:rFonts w:hint="eastAsia" w:cs="Times New Roman" w:asciiTheme="minorEastAsia" w:hAnsiTheme="minorEastAsia" w:eastAsiaTheme="minorEastAsia"/>
                <w:bCs/>
                <w:kern w:val="0"/>
                <w:sz w:val="26"/>
                <w:szCs w:val="26"/>
                <w:lang w:val="en-US" w:eastAsia="zh-CN" w:bidi="ar-SA"/>
                <w14:ligatures w14:val="standardContextual"/>
              </w:rPr>
              <w:t>3.00</w:t>
            </w:r>
          </w:p>
        </w:tc>
        <w:tc>
          <w:tcPr>
            <w:tcW w:w="4956"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2DC5600D">
            <w:pPr>
              <w:spacing w:line="420" w:lineRule="exact"/>
              <w:rPr>
                <w:rFonts w:hint="eastAsia" w:cs="Times New Roman" w:asciiTheme="minorEastAsia" w:hAnsiTheme="minorEastAsia" w:eastAsiaTheme="minorEastAsia"/>
                <w:bCs/>
                <w:kern w:val="0"/>
                <w:sz w:val="26"/>
                <w:szCs w:val="26"/>
                <w:lang w:val="en-US" w:eastAsia="zh-CN" w:bidi="ar-SA"/>
                <w14:ligatures w14:val="standardContextual"/>
              </w:rPr>
            </w:pPr>
            <w:r>
              <w:rPr>
                <w:rFonts w:hint="eastAsia" w:cs="Times New Roman" w:asciiTheme="minorEastAsia" w:hAnsiTheme="minorEastAsia" w:eastAsiaTheme="minorEastAsia"/>
                <w:bCs/>
                <w:kern w:val="0"/>
                <w:sz w:val="26"/>
                <w:szCs w:val="26"/>
                <w:lang w:val="en-US" w:eastAsia="zh-CN" w:bidi="ar-SA"/>
                <w14:ligatures w14:val="standardContextual"/>
              </w:rPr>
              <w:t>提供投标人拟投入设备配置方案（设备配置清单、设备安装与调试、设备管理与维护等内容）由评标委员会进行评议,方案所包含的要点齐全、内容与要点相符、内容详实，具有可操作性的得3分；方案所包含的要点齐全、内容与要点相符，内容相对简略，具有可操作性的得2.9分；方案所包含的要点缺项，内容与要点相符，内容相对简略，可操作性不明显的得2.8分。操作性不强或未提供本项不得分。（满分3分）</w:t>
            </w:r>
          </w:p>
        </w:tc>
      </w:tr>
      <w:tr w14:paraId="7B1CF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jc w:val="center"/>
        </w:trPr>
        <w:tc>
          <w:tcPr>
            <w:tcW w:w="761" w:type="dxa"/>
            <w:tcBorders>
              <w:top w:val="single" w:color="auto" w:sz="4" w:space="0"/>
              <w:left w:val="single" w:color="auto" w:sz="4" w:space="0"/>
              <w:bottom w:val="single" w:color="auto" w:sz="4" w:space="0"/>
              <w:right w:val="single" w:color="auto" w:sz="4" w:space="0"/>
            </w:tcBorders>
            <w:vAlign w:val="center"/>
          </w:tcPr>
          <w:p w14:paraId="14514D53">
            <w:pPr>
              <w:spacing w:line="420" w:lineRule="exact"/>
              <w:rPr>
                <w:rFonts w:hint="eastAsia" w:cs="Times New Roman" w:asciiTheme="minorEastAsia" w:hAnsiTheme="minorEastAsia" w:eastAsiaTheme="minorEastAsia"/>
                <w:bCs/>
                <w:kern w:val="0"/>
                <w:sz w:val="26"/>
                <w:szCs w:val="26"/>
                <w:lang w:val="en-US" w:eastAsia="zh-CN" w:bidi="ar-SA"/>
                <w14:ligatures w14:val="standardContextual"/>
              </w:rPr>
            </w:pPr>
            <w:r>
              <w:rPr>
                <w:rFonts w:hint="eastAsia" w:cs="Times New Roman" w:asciiTheme="minorEastAsia" w:hAnsiTheme="minorEastAsia" w:eastAsiaTheme="minorEastAsia"/>
                <w:bCs/>
                <w:kern w:val="0"/>
                <w:sz w:val="26"/>
                <w:szCs w:val="26"/>
                <w:lang w:val="en-US" w:eastAsia="zh-CN" w:bidi="ar-SA"/>
                <w14:ligatures w14:val="standardContextual"/>
              </w:rPr>
              <w:t>1</w:t>
            </w:r>
          </w:p>
        </w:tc>
        <w:tc>
          <w:tcPr>
            <w:tcW w:w="1501" w:type="dxa"/>
            <w:tcBorders>
              <w:top w:val="single" w:color="auto" w:sz="4" w:space="0"/>
              <w:left w:val="single" w:color="auto" w:sz="4" w:space="0"/>
              <w:bottom w:val="single" w:color="auto" w:sz="4" w:space="0"/>
              <w:right w:val="single" w:color="auto" w:sz="4" w:space="0"/>
            </w:tcBorders>
            <w:shd w:val="clear" w:color="auto" w:fill="auto"/>
            <w:vAlign w:val="center"/>
          </w:tcPr>
          <w:p w14:paraId="1C1EB2AB">
            <w:pPr>
              <w:spacing w:line="420" w:lineRule="exact"/>
              <w:rPr>
                <w:rFonts w:hint="eastAsia" w:cs="Times New Roman" w:asciiTheme="minorEastAsia" w:hAnsiTheme="minorEastAsia" w:eastAsiaTheme="minorEastAsia"/>
                <w:bCs/>
                <w:kern w:val="0"/>
                <w:sz w:val="26"/>
                <w:szCs w:val="26"/>
                <w:lang w:val="en-US" w:eastAsia="zh-CN" w:bidi="ar-SA"/>
                <w14:ligatures w14:val="standardContextual"/>
              </w:rPr>
            </w:pPr>
            <w:r>
              <w:rPr>
                <w:rFonts w:hint="eastAsia" w:cs="Times New Roman" w:asciiTheme="minorEastAsia" w:hAnsiTheme="minorEastAsia" w:eastAsiaTheme="minorEastAsia"/>
                <w:bCs/>
                <w:kern w:val="0"/>
                <w:sz w:val="26"/>
                <w:szCs w:val="26"/>
                <w:lang w:val="en-US" w:eastAsia="zh-CN" w:bidi="ar-SA"/>
                <w14:ligatures w14:val="standardContextual"/>
              </w:rPr>
              <w:t>硬件研发实力</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7A7DD57">
            <w:pPr>
              <w:spacing w:line="420" w:lineRule="exact"/>
              <w:rPr>
                <w:rFonts w:hint="default" w:cs="Times New Roman" w:asciiTheme="minorEastAsia" w:hAnsiTheme="minorEastAsia" w:eastAsiaTheme="minorEastAsia"/>
                <w:bCs/>
                <w:kern w:val="0"/>
                <w:sz w:val="26"/>
                <w:szCs w:val="26"/>
                <w:lang w:val="en-US" w:eastAsia="zh-CN" w:bidi="ar-SA"/>
                <w14:ligatures w14:val="standardContextual"/>
              </w:rPr>
            </w:pPr>
            <w:r>
              <w:rPr>
                <w:rFonts w:hint="eastAsia" w:cs="Times New Roman" w:asciiTheme="minorEastAsia" w:hAnsiTheme="minorEastAsia" w:eastAsiaTheme="minorEastAsia"/>
                <w:bCs/>
                <w:kern w:val="0"/>
                <w:sz w:val="26"/>
                <w:szCs w:val="26"/>
                <w:lang w:val="en-US" w:eastAsia="zh-CN" w:bidi="ar-SA"/>
                <w14:ligatures w14:val="standardContextual"/>
              </w:rPr>
              <w:t>3.00</w:t>
            </w:r>
          </w:p>
        </w:tc>
        <w:tc>
          <w:tcPr>
            <w:tcW w:w="495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4882310">
            <w:pPr>
              <w:spacing w:line="420" w:lineRule="exact"/>
              <w:rPr>
                <w:rFonts w:hint="eastAsia" w:cs="Times New Roman" w:asciiTheme="minorEastAsia" w:hAnsiTheme="minorEastAsia" w:eastAsiaTheme="minorEastAsia"/>
                <w:bCs/>
                <w:kern w:val="0"/>
                <w:sz w:val="26"/>
                <w:szCs w:val="26"/>
                <w:lang w:val="en-US" w:eastAsia="zh-CN" w:bidi="ar-SA"/>
                <w14:ligatures w14:val="standardContextual"/>
              </w:rPr>
            </w:pPr>
            <w:r>
              <w:rPr>
                <w:rFonts w:hint="eastAsia" w:cs="Times New Roman" w:asciiTheme="minorEastAsia" w:hAnsiTheme="minorEastAsia" w:eastAsiaTheme="minorEastAsia"/>
                <w:bCs/>
                <w:kern w:val="0"/>
                <w:sz w:val="26"/>
                <w:szCs w:val="26"/>
                <w:lang w:val="en-US" w:eastAsia="zh-CN" w:bidi="ar-SA"/>
                <w14:ligatures w14:val="standardContextual"/>
              </w:rPr>
              <w:t>投标人所投的智能快递柜具有自主研发的相关专利证明，每提供1项证书得1分，满分3分。</w:t>
            </w:r>
          </w:p>
          <w:p w14:paraId="7EA78211">
            <w:pPr>
              <w:spacing w:line="420" w:lineRule="exact"/>
              <w:rPr>
                <w:rFonts w:hint="eastAsia" w:cs="Times New Roman" w:asciiTheme="minorEastAsia" w:hAnsiTheme="minorEastAsia" w:eastAsiaTheme="minorEastAsia"/>
                <w:bCs/>
                <w:kern w:val="0"/>
                <w:sz w:val="26"/>
                <w:szCs w:val="26"/>
                <w:lang w:val="en-US" w:eastAsia="zh-CN" w:bidi="ar-SA"/>
                <w14:ligatures w14:val="standardContextual"/>
              </w:rPr>
            </w:pPr>
            <w:r>
              <w:rPr>
                <w:rFonts w:hint="eastAsia" w:cs="Times New Roman" w:asciiTheme="minorEastAsia" w:hAnsiTheme="minorEastAsia" w:eastAsiaTheme="minorEastAsia"/>
                <w:bCs/>
                <w:kern w:val="0"/>
                <w:sz w:val="26"/>
                <w:szCs w:val="26"/>
                <w:lang w:val="en-US" w:eastAsia="zh-CN" w:bidi="ar-SA"/>
                <w14:ligatures w14:val="standardContextual"/>
              </w:rPr>
              <w:t>注：投标人须提供证书复印件并加盖投标人公章，若所投产品为授权使用的还需提供授权书复印件加盖公章，否则不得分。</w:t>
            </w:r>
          </w:p>
        </w:tc>
      </w:tr>
      <w:tr w14:paraId="65CA2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jc w:val="center"/>
        </w:trPr>
        <w:tc>
          <w:tcPr>
            <w:tcW w:w="761" w:type="dxa"/>
            <w:tcBorders>
              <w:top w:val="single" w:color="auto" w:sz="4" w:space="0"/>
              <w:left w:val="single" w:color="auto" w:sz="4" w:space="0"/>
              <w:bottom w:val="single" w:color="auto" w:sz="4" w:space="0"/>
              <w:right w:val="single" w:color="auto" w:sz="4" w:space="0"/>
            </w:tcBorders>
            <w:vAlign w:val="center"/>
          </w:tcPr>
          <w:p w14:paraId="0095BFEC">
            <w:pPr>
              <w:spacing w:line="420" w:lineRule="exact"/>
              <w:rPr>
                <w:rFonts w:hint="eastAsia" w:cs="Times New Roman" w:asciiTheme="minorEastAsia" w:hAnsiTheme="minorEastAsia" w:eastAsiaTheme="minorEastAsia"/>
                <w:bCs/>
                <w:kern w:val="0"/>
                <w:sz w:val="26"/>
                <w:szCs w:val="26"/>
                <w:lang w:val="en-US" w:eastAsia="zh-CN" w:bidi="ar-SA"/>
                <w14:ligatures w14:val="standardContextual"/>
              </w:rPr>
            </w:pPr>
            <w:r>
              <w:rPr>
                <w:rFonts w:hint="eastAsia" w:cs="Times New Roman" w:asciiTheme="minorEastAsia" w:hAnsiTheme="minorEastAsia" w:eastAsiaTheme="minorEastAsia"/>
                <w:bCs/>
                <w:kern w:val="0"/>
                <w:sz w:val="26"/>
                <w:szCs w:val="26"/>
                <w:lang w:val="en-US" w:eastAsia="zh-CN" w:bidi="ar-SA"/>
                <w14:ligatures w14:val="standardContextual"/>
              </w:rPr>
              <w:t>2</w:t>
            </w:r>
          </w:p>
        </w:tc>
        <w:tc>
          <w:tcPr>
            <w:tcW w:w="1501" w:type="dxa"/>
            <w:tcBorders>
              <w:top w:val="single" w:color="auto" w:sz="4" w:space="0"/>
              <w:left w:val="single" w:color="auto" w:sz="4" w:space="0"/>
              <w:bottom w:val="single" w:color="auto" w:sz="4" w:space="0"/>
              <w:right w:val="single" w:color="auto" w:sz="4" w:space="0"/>
            </w:tcBorders>
            <w:shd w:val="clear" w:color="auto" w:fill="auto"/>
            <w:vAlign w:val="center"/>
          </w:tcPr>
          <w:p w14:paraId="492B67EF">
            <w:pPr>
              <w:spacing w:line="420" w:lineRule="exact"/>
              <w:rPr>
                <w:rFonts w:hint="eastAsia" w:cs="Times New Roman" w:asciiTheme="minorEastAsia" w:hAnsiTheme="minorEastAsia" w:eastAsiaTheme="minorEastAsia"/>
                <w:bCs/>
                <w:kern w:val="0"/>
                <w:sz w:val="26"/>
                <w:szCs w:val="26"/>
                <w:lang w:val="en-US" w:eastAsia="zh-CN" w:bidi="ar-SA"/>
                <w14:ligatures w14:val="standardContextual"/>
              </w:rPr>
            </w:pPr>
            <w:r>
              <w:rPr>
                <w:rFonts w:hint="eastAsia" w:cs="Times New Roman" w:asciiTheme="minorEastAsia" w:hAnsiTheme="minorEastAsia" w:eastAsiaTheme="minorEastAsia"/>
                <w:bCs/>
                <w:kern w:val="0"/>
                <w:sz w:val="26"/>
                <w:szCs w:val="26"/>
                <w:lang w:val="en-US" w:eastAsia="zh-CN" w:bidi="ar-SA"/>
                <w14:ligatures w14:val="standardContextual"/>
              </w:rPr>
              <w:t>软件研发实力</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8010677">
            <w:pPr>
              <w:spacing w:line="420" w:lineRule="exact"/>
              <w:rPr>
                <w:rFonts w:hint="default" w:cs="Times New Roman" w:asciiTheme="minorEastAsia" w:hAnsiTheme="minorEastAsia" w:eastAsiaTheme="minorEastAsia"/>
                <w:bCs/>
                <w:kern w:val="0"/>
                <w:sz w:val="26"/>
                <w:szCs w:val="26"/>
                <w:lang w:val="en-US" w:eastAsia="zh-CN" w:bidi="ar-SA"/>
                <w14:ligatures w14:val="standardContextual"/>
              </w:rPr>
            </w:pPr>
            <w:r>
              <w:rPr>
                <w:rFonts w:hint="eastAsia" w:cs="Times New Roman" w:asciiTheme="minorEastAsia" w:hAnsiTheme="minorEastAsia" w:eastAsiaTheme="minorEastAsia"/>
                <w:bCs/>
                <w:kern w:val="0"/>
                <w:sz w:val="26"/>
                <w:szCs w:val="26"/>
                <w:lang w:val="en-US" w:eastAsia="zh-CN" w:bidi="ar-SA"/>
                <w14:ligatures w14:val="standardContextual"/>
              </w:rPr>
              <w:t>3.00</w:t>
            </w:r>
          </w:p>
        </w:tc>
        <w:tc>
          <w:tcPr>
            <w:tcW w:w="495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C01E58B">
            <w:pPr>
              <w:spacing w:line="420" w:lineRule="exact"/>
              <w:rPr>
                <w:rFonts w:hint="eastAsia" w:cs="Times New Roman" w:asciiTheme="minorEastAsia" w:hAnsiTheme="minorEastAsia" w:eastAsiaTheme="minorEastAsia"/>
                <w:bCs/>
                <w:kern w:val="0"/>
                <w:sz w:val="26"/>
                <w:szCs w:val="26"/>
                <w:lang w:val="en-US" w:eastAsia="zh-CN" w:bidi="ar-SA"/>
                <w14:ligatures w14:val="standardContextual"/>
              </w:rPr>
            </w:pPr>
            <w:r>
              <w:rPr>
                <w:rFonts w:hint="eastAsia" w:cs="Times New Roman" w:asciiTheme="minorEastAsia" w:hAnsiTheme="minorEastAsia" w:eastAsiaTheme="minorEastAsia"/>
                <w:bCs/>
                <w:kern w:val="0"/>
                <w:sz w:val="26"/>
                <w:szCs w:val="26"/>
                <w:lang w:val="en-US" w:eastAsia="zh-CN" w:bidi="ar-SA"/>
                <w14:ligatures w14:val="standardContextual"/>
              </w:rPr>
              <w:t>投标人所投的驿站管理系统及智能包裹柜配套系统软件具有自主研发相应的著作权证书证明，每提供1项证书得1分，满分3分。</w:t>
            </w:r>
          </w:p>
          <w:p w14:paraId="46A67995">
            <w:pPr>
              <w:spacing w:line="420" w:lineRule="exact"/>
              <w:rPr>
                <w:rFonts w:hint="eastAsia" w:cs="Times New Roman" w:asciiTheme="minorEastAsia" w:hAnsiTheme="minorEastAsia" w:eastAsiaTheme="minorEastAsia"/>
                <w:bCs/>
                <w:kern w:val="0"/>
                <w:sz w:val="26"/>
                <w:szCs w:val="26"/>
                <w:lang w:val="en-US" w:eastAsia="zh-CN" w:bidi="ar-SA"/>
                <w14:ligatures w14:val="standardContextual"/>
              </w:rPr>
            </w:pPr>
            <w:r>
              <w:rPr>
                <w:rFonts w:hint="eastAsia" w:cs="Times New Roman" w:asciiTheme="minorEastAsia" w:hAnsiTheme="minorEastAsia" w:eastAsiaTheme="minorEastAsia"/>
                <w:bCs/>
                <w:kern w:val="0"/>
                <w:sz w:val="26"/>
                <w:szCs w:val="26"/>
                <w:lang w:val="en-US" w:eastAsia="zh-CN" w:bidi="ar-SA"/>
                <w14:ligatures w14:val="standardContextual"/>
              </w:rPr>
              <w:t>注：投标人须提供证书复印件并加盖投标人公章</w:t>
            </w:r>
          </w:p>
        </w:tc>
      </w:tr>
      <w:tr w14:paraId="59546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jc w:val="center"/>
        </w:trPr>
        <w:tc>
          <w:tcPr>
            <w:tcW w:w="761" w:type="dxa"/>
            <w:tcBorders>
              <w:top w:val="single" w:color="auto" w:sz="4" w:space="0"/>
              <w:left w:val="single" w:color="auto" w:sz="4" w:space="0"/>
              <w:bottom w:val="single" w:color="auto" w:sz="4" w:space="0"/>
              <w:right w:val="single" w:color="auto" w:sz="4" w:space="0"/>
            </w:tcBorders>
            <w:vAlign w:val="center"/>
          </w:tcPr>
          <w:p w14:paraId="066800CA">
            <w:pPr>
              <w:spacing w:line="420" w:lineRule="exact"/>
              <w:rPr>
                <w:rFonts w:hint="default" w:cs="Times New Roman" w:asciiTheme="minorEastAsia" w:hAnsiTheme="minorEastAsia" w:eastAsiaTheme="minorEastAsia"/>
                <w:bCs/>
                <w:kern w:val="0"/>
                <w:sz w:val="26"/>
                <w:szCs w:val="26"/>
                <w:lang w:val="en-US" w:eastAsia="zh-CN" w:bidi="ar-SA"/>
                <w14:ligatures w14:val="standardContextual"/>
              </w:rPr>
            </w:pPr>
            <w:r>
              <w:rPr>
                <w:rFonts w:hint="eastAsia" w:cs="Times New Roman" w:asciiTheme="minorEastAsia" w:hAnsiTheme="minorEastAsia" w:eastAsiaTheme="minorEastAsia"/>
                <w:bCs/>
                <w:kern w:val="0"/>
                <w:sz w:val="26"/>
                <w:szCs w:val="26"/>
                <w:lang w:val="en-US" w:eastAsia="zh-CN" w:bidi="ar-SA"/>
                <w14:ligatures w14:val="standardContextual"/>
              </w:rPr>
              <w:t>3</w:t>
            </w:r>
          </w:p>
        </w:tc>
        <w:tc>
          <w:tcPr>
            <w:tcW w:w="1501" w:type="dxa"/>
            <w:tcBorders>
              <w:top w:val="single" w:color="auto" w:sz="4" w:space="0"/>
              <w:left w:val="single" w:color="auto" w:sz="4" w:space="0"/>
              <w:bottom w:val="single" w:color="auto" w:sz="4" w:space="0"/>
              <w:right w:val="single" w:color="auto" w:sz="4" w:space="0"/>
            </w:tcBorders>
            <w:shd w:val="clear" w:color="auto" w:fill="auto"/>
            <w:vAlign w:val="center"/>
          </w:tcPr>
          <w:p w14:paraId="18DCE597">
            <w:pPr>
              <w:spacing w:line="420" w:lineRule="exact"/>
              <w:rPr>
                <w:rFonts w:hint="eastAsia" w:cs="Times New Roman" w:asciiTheme="minorEastAsia" w:hAnsiTheme="minorEastAsia" w:eastAsiaTheme="minorEastAsia"/>
                <w:bCs/>
                <w:kern w:val="0"/>
                <w:sz w:val="26"/>
                <w:szCs w:val="26"/>
                <w:lang w:val="en-US" w:eastAsia="zh-CN" w:bidi="ar-SA"/>
                <w14:ligatures w14:val="standardContextual"/>
              </w:rPr>
            </w:pPr>
            <w:r>
              <w:rPr>
                <w:rFonts w:hint="eastAsia" w:cs="Times New Roman" w:asciiTheme="minorEastAsia" w:hAnsiTheme="minorEastAsia" w:eastAsiaTheme="minorEastAsia"/>
                <w:bCs/>
                <w:kern w:val="0"/>
                <w:sz w:val="26"/>
                <w:szCs w:val="26"/>
                <w:lang w:val="en-US" w:eastAsia="zh-CN" w:bidi="ar-SA"/>
                <w14:ligatures w14:val="standardContextual"/>
              </w:rPr>
              <w:t>信息安全认证</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191E173">
            <w:pPr>
              <w:spacing w:line="420" w:lineRule="exact"/>
              <w:rPr>
                <w:rFonts w:hint="default" w:cs="Times New Roman" w:asciiTheme="minorEastAsia" w:hAnsiTheme="minorEastAsia" w:eastAsiaTheme="minorEastAsia"/>
                <w:bCs/>
                <w:kern w:val="0"/>
                <w:sz w:val="26"/>
                <w:szCs w:val="26"/>
                <w:lang w:val="en-US" w:eastAsia="zh-CN" w:bidi="ar-SA"/>
                <w14:ligatures w14:val="standardContextual"/>
              </w:rPr>
            </w:pPr>
            <w:r>
              <w:rPr>
                <w:rFonts w:hint="eastAsia" w:cs="Times New Roman" w:asciiTheme="minorEastAsia" w:hAnsiTheme="minorEastAsia" w:eastAsiaTheme="minorEastAsia"/>
                <w:bCs/>
                <w:kern w:val="0"/>
                <w:sz w:val="26"/>
                <w:szCs w:val="26"/>
                <w:lang w:val="en-US" w:eastAsia="zh-CN" w:bidi="ar-SA"/>
                <w14:ligatures w14:val="standardContextual"/>
              </w:rPr>
              <w:t>5.00</w:t>
            </w:r>
          </w:p>
        </w:tc>
        <w:tc>
          <w:tcPr>
            <w:tcW w:w="495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74ADD9F">
            <w:pPr>
              <w:spacing w:line="420" w:lineRule="exact"/>
              <w:rPr>
                <w:rFonts w:hint="eastAsia" w:cs="Times New Roman" w:asciiTheme="minorEastAsia" w:hAnsiTheme="minorEastAsia" w:eastAsiaTheme="minorEastAsia"/>
                <w:bCs/>
                <w:kern w:val="0"/>
                <w:sz w:val="26"/>
                <w:szCs w:val="26"/>
                <w:lang w:val="en-US" w:eastAsia="zh-CN" w:bidi="ar-SA"/>
                <w14:ligatures w14:val="standardContextual"/>
              </w:rPr>
            </w:pPr>
            <w:r>
              <w:rPr>
                <w:rFonts w:hint="eastAsia" w:cs="Times New Roman" w:asciiTheme="minorEastAsia" w:hAnsiTheme="minorEastAsia" w:eastAsiaTheme="minorEastAsia"/>
                <w:bCs/>
                <w:kern w:val="0"/>
                <w:sz w:val="26"/>
                <w:szCs w:val="26"/>
                <w:lang w:val="en-US" w:eastAsia="zh-CN" w:bidi="ar-SA"/>
                <w14:ligatures w14:val="standardContextual"/>
              </w:rPr>
              <w:t>1、投标人的产品具有三级及以上有效的信息系统安全等级保护证书的，得2.5分。</w:t>
            </w:r>
          </w:p>
          <w:p w14:paraId="02C0618C">
            <w:pPr>
              <w:spacing w:line="420" w:lineRule="exact"/>
              <w:rPr>
                <w:rFonts w:hint="eastAsia" w:cs="Times New Roman" w:asciiTheme="minorEastAsia" w:hAnsiTheme="minorEastAsia" w:eastAsiaTheme="minorEastAsia"/>
                <w:bCs/>
                <w:kern w:val="0"/>
                <w:sz w:val="26"/>
                <w:szCs w:val="26"/>
                <w:lang w:val="en-US" w:eastAsia="zh-CN" w:bidi="ar-SA"/>
                <w14:ligatures w14:val="standardContextual"/>
              </w:rPr>
            </w:pPr>
            <w:r>
              <w:rPr>
                <w:rFonts w:hint="eastAsia" w:cs="Times New Roman" w:asciiTheme="minorEastAsia" w:hAnsiTheme="minorEastAsia" w:eastAsiaTheme="minorEastAsia"/>
                <w:bCs/>
                <w:kern w:val="0"/>
                <w:sz w:val="26"/>
                <w:szCs w:val="26"/>
                <w:lang w:val="en-US" w:eastAsia="zh-CN" w:bidi="ar-SA"/>
                <w14:ligatures w14:val="standardContextual"/>
              </w:rPr>
              <w:t>注：投标人需提供所投产品有效的信息系统安全等级证书复印件，未提供的不得分。</w:t>
            </w:r>
          </w:p>
          <w:p w14:paraId="1CCB7487">
            <w:pPr>
              <w:spacing w:line="420" w:lineRule="exact"/>
              <w:rPr>
                <w:rFonts w:hint="eastAsia" w:cs="Times New Roman" w:asciiTheme="minorEastAsia" w:hAnsiTheme="minorEastAsia" w:eastAsiaTheme="minorEastAsia"/>
                <w:bCs/>
                <w:kern w:val="0"/>
                <w:sz w:val="26"/>
                <w:szCs w:val="26"/>
                <w:lang w:val="en-US" w:eastAsia="zh-CN" w:bidi="ar-SA"/>
                <w14:ligatures w14:val="standardContextual"/>
              </w:rPr>
            </w:pPr>
            <w:r>
              <w:rPr>
                <w:rFonts w:hint="eastAsia" w:cs="Times New Roman" w:asciiTheme="minorEastAsia" w:hAnsiTheme="minorEastAsia" w:eastAsiaTheme="minorEastAsia"/>
                <w:bCs/>
                <w:kern w:val="0"/>
                <w:sz w:val="26"/>
                <w:szCs w:val="26"/>
                <w:lang w:val="en-US" w:eastAsia="zh-CN" w:bidi="ar-SA"/>
                <w14:ligatures w14:val="standardContextual"/>
              </w:rPr>
              <w:t>2、投标人具有有效的信息安全管理体系认证证书的，得2.5分。</w:t>
            </w:r>
          </w:p>
          <w:p w14:paraId="429B4B1F">
            <w:pPr>
              <w:spacing w:line="420" w:lineRule="exact"/>
              <w:rPr>
                <w:rFonts w:hint="eastAsia" w:cs="Times New Roman" w:asciiTheme="minorEastAsia" w:hAnsiTheme="minorEastAsia" w:eastAsiaTheme="minorEastAsia"/>
                <w:bCs/>
                <w:kern w:val="0"/>
                <w:sz w:val="26"/>
                <w:szCs w:val="26"/>
                <w:lang w:val="en-US" w:eastAsia="zh-CN" w:bidi="ar-SA"/>
                <w14:ligatures w14:val="standardContextual"/>
              </w:rPr>
            </w:pPr>
            <w:r>
              <w:rPr>
                <w:rFonts w:hint="eastAsia" w:cs="Times New Roman" w:asciiTheme="minorEastAsia" w:hAnsiTheme="minorEastAsia" w:eastAsiaTheme="minorEastAsia"/>
                <w:bCs/>
                <w:kern w:val="0"/>
                <w:sz w:val="26"/>
                <w:szCs w:val="26"/>
                <w:lang w:val="en-US" w:eastAsia="zh-CN" w:bidi="ar-SA"/>
                <w14:ligatures w14:val="standardContextual"/>
              </w:rPr>
              <w:t>注：投标人需提供有效认证证书复印件，未提供的不得分。</w:t>
            </w:r>
          </w:p>
        </w:tc>
      </w:tr>
      <w:tr w14:paraId="7A525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61" w:type="dxa"/>
            <w:tcBorders>
              <w:top w:val="single" w:color="auto" w:sz="4" w:space="0"/>
              <w:left w:val="single" w:color="auto" w:sz="4" w:space="0"/>
              <w:bottom w:val="single" w:color="auto" w:sz="4" w:space="0"/>
              <w:right w:val="single" w:color="auto" w:sz="4" w:space="0"/>
            </w:tcBorders>
            <w:vAlign w:val="center"/>
          </w:tcPr>
          <w:p w14:paraId="0BC0942A">
            <w:pPr>
              <w:spacing w:line="420" w:lineRule="exact"/>
              <w:rPr>
                <w:rFonts w:hint="eastAsia" w:cs="Times New Roman" w:asciiTheme="minorEastAsia" w:hAnsiTheme="minorEastAsia" w:eastAsiaTheme="minorEastAsia"/>
                <w:bCs/>
                <w:kern w:val="0"/>
                <w:sz w:val="26"/>
                <w:szCs w:val="26"/>
                <w:lang w:val="en-US" w:eastAsia="zh-CN" w:bidi="ar-SA"/>
                <w14:ligatures w14:val="standardContextual"/>
              </w:rPr>
            </w:pPr>
            <w:r>
              <w:rPr>
                <w:rFonts w:hint="eastAsia" w:cs="Times New Roman" w:asciiTheme="minorEastAsia" w:hAnsiTheme="minorEastAsia" w:eastAsiaTheme="minorEastAsia"/>
                <w:bCs/>
                <w:kern w:val="0"/>
                <w:sz w:val="26"/>
                <w:szCs w:val="26"/>
                <w:lang w:val="en-US" w:eastAsia="zh-CN" w:bidi="ar-SA"/>
                <w14:ligatures w14:val="standardContextual"/>
              </w:rPr>
              <w:t>C</w:t>
            </w:r>
          </w:p>
        </w:tc>
        <w:tc>
          <w:tcPr>
            <w:tcW w:w="7430" w:type="dxa"/>
            <w:gridSpan w:val="5"/>
            <w:tcBorders>
              <w:top w:val="single" w:color="auto" w:sz="4" w:space="0"/>
              <w:left w:val="single" w:color="auto" w:sz="4" w:space="0"/>
              <w:bottom w:val="single" w:color="auto" w:sz="4" w:space="0"/>
              <w:right w:val="single" w:color="auto" w:sz="4" w:space="0"/>
            </w:tcBorders>
            <w:vAlign w:val="center"/>
          </w:tcPr>
          <w:p w14:paraId="622062CA">
            <w:pPr>
              <w:spacing w:line="420" w:lineRule="exact"/>
              <w:rPr>
                <w:rFonts w:hint="eastAsia" w:cs="Times New Roman" w:asciiTheme="minorEastAsia" w:hAnsiTheme="minorEastAsia" w:eastAsiaTheme="minorEastAsia"/>
                <w:bCs/>
                <w:kern w:val="0"/>
                <w:sz w:val="26"/>
                <w:szCs w:val="26"/>
                <w:lang w:val="en-US" w:eastAsia="zh-CN" w:bidi="ar-SA"/>
                <w14:ligatures w14:val="standardContextual"/>
              </w:rPr>
            </w:pPr>
            <w:r>
              <w:rPr>
                <w:rFonts w:hint="eastAsia" w:cs="Times New Roman" w:asciiTheme="minorEastAsia" w:hAnsiTheme="minorEastAsia" w:eastAsiaTheme="minorEastAsia"/>
                <w:bCs/>
                <w:kern w:val="0"/>
                <w:sz w:val="26"/>
                <w:szCs w:val="26"/>
                <w:lang w:val="en-US" w:eastAsia="zh-CN" w:bidi="ar-SA"/>
                <w14:ligatures w14:val="standardContextual"/>
              </w:rPr>
              <w:t>商务评分：满分18分。</w:t>
            </w:r>
          </w:p>
        </w:tc>
      </w:tr>
      <w:tr w14:paraId="0B11C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761" w:type="dxa"/>
            <w:tcBorders>
              <w:top w:val="single" w:color="auto" w:sz="4" w:space="0"/>
              <w:left w:val="single" w:color="auto" w:sz="4" w:space="0"/>
              <w:bottom w:val="single" w:color="auto" w:sz="4" w:space="0"/>
              <w:right w:val="single" w:color="auto" w:sz="4" w:space="0"/>
            </w:tcBorders>
            <w:vAlign w:val="center"/>
          </w:tcPr>
          <w:p w14:paraId="58B69084">
            <w:pPr>
              <w:spacing w:line="420" w:lineRule="exact"/>
              <w:rPr>
                <w:rFonts w:hint="eastAsia" w:cs="Times New Roman" w:asciiTheme="minorEastAsia" w:hAnsiTheme="minorEastAsia" w:eastAsiaTheme="minorEastAsia"/>
                <w:bCs/>
                <w:kern w:val="0"/>
                <w:sz w:val="26"/>
                <w:szCs w:val="26"/>
                <w:lang w:val="en-US" w:eastAsia="zh-CN" w:bidi="ar-SA"/>
                <w14:ligatures w14:val="standardContextual"/>
              </w:rPr>
            </w:pPr>
            <w:r>
              <w:rPr>
                <w:rFonts w:hint="eastAsia" w:cs="Times New Roman" w:asciiTheme="minorEastAsia" w:hAnsiTheme="minorEastAsia" w:eastAsiaTheme="minorEastAsia"/>
                <w:bCs/>
                <w:kern w:val="0"/>
                <w:sz w:val="26"/>
                <w:szCs w:val="26"/>
                <w:lang w:val="en-US" w:eastAsia="zh-CN" w:bidi="ar-SA"/>
                <w14:ligatures w14:val="standardContextual"/>
              </w:rPr>
              <w:t>C1</w:t>
            </w:r>
          </w:p>
        </w:tc>
        <w:tc>
          <w:tcPr>
            <w:tcW w:w="164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3B37B07">
            <w:pPr>
              <w:spacing w:line="420" w:lineRule="exact"/>
              <w:rPr>
                <w:rFonts w:hint="eastAsia" w:cs="Times New Roman" w:asciiTheme="minorEastAsia" w:hAnsiTheme="minorEastAsia" w:eastAsiaTheme="minorEastAsia"/>
                <w:bCs/>
                <w:kern w:val="0"/>
                <w:sz w:val="26"/>
                <w:szCs w:val="26"/>
                <w:lang w:val="en-US" w:eastAsia="zh-CN" w:bidi="ar-SA"/>
                <w14:ligatures w14:val="standardContextual"/>
              </w:rPr>
            </w:pPr>
            <w:r>
              <w:rPr>
                <w:rFonts w:hint="eastAsia" w:cs="Times New Roman" w:asciiTheme="minorEastAsia" w:hAnsiTheme="minorEastAsia" w:eastAsiaTheme="minorEastAsia"/>
                <w:bCs/>
                <w:kern w:val="0"/>
                <w:sz w:val="26"/>
                <w:szCs w:val="26"/>
                <w:lang w:val="en-US" w:eastAsia="zh-CN" w:bidi="ar-SA"/>
                <w14:ligatures w14:val="standardContextual"/>
              </w:rPr>
              <w:t>无发生重大安全事故承诺</w:t>
            </w:r>
          </w:p>
        </w:tc>
        <w:tc>
          <w:tcPr>
            <w:tcW w:w="8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58930C6">
            <w:pPr>
              <w:spacing w:line="420" w:lineRule="exact"/>
              <w:rPr>
                <w:rFonts w:hint="eastAsia" w:cs="Times New Roman" w:asciiTheme="minorEastAsia" w:hAnsiTheme="minorEastAsia" w:eastAsiaTheme="minorEastAsia"/>
                <w:bCs/>
                <w:kern w:val="0"/>
                <w:sz w:val="26"/>
                <w:szCs w:val="26"/>
                <w:lang w:val="en-US" w:eastAsia="zh-CN" w:bidi="ar-SA"/>
                <w14:ligatures w14:val="standardContextual"/>
              </w:rPr>
            </w:pPr>
            <w:r>
              <w:rPr>
                <w:rFonts w:hint="eastAsia" w:cs="Times New Roman" w:asciiTheme="minorEastAsia" w:hAnsiTheme="minorEastAsia" w:eastAsiaTheme="minorEastAsia"/>
                <w:bCs/>
                <w:kern w:val="0"/>
                <w:sz w:val="26"/>
                <w:szCs w:val="26"/>
                <w:lang w:val="en-US" w:eastAsia="zh-CN" w:bidi="ar-SA"/>
                <w14:ligatures w14:val="standardContextual"/>
              </w:rPr>
              <w:t>5.00</w:t>
            </w:r>
          </w:p>
        </w:tc>
        <w:tc>
          <w:tcPr>
            <w:tcW w:w="4907" w:type="dxa"/>
            <w:tcBorders>
              <w:top w:val="single" w:color="auto" w:sz="4" w:space="0"/>
              <w:left w:val="single" w:color="auto" w:sz="4" w:space="0"/>
              <w:bottom w:val="single" w:color="auto" w:sz="4" w:space="0"/>
              <w:right w:val="single" w:color="auto" w:sz="4" w:space="0"/>
            </w:tcBorders>
            <w:shd w:val="clear" w:color="auto" w:fill="auto"/>
            <w:vAlign w:val="top"/>
          </w:tcPr>
          <w:p w14:paraId="00E72A81">
            <w:pPr>
              <w:spacing w:line="420" w:lineRule="exact"/>
              <w:rPr>
                <w:rFonts w:hint="eastAsia" w:cs="Times New Roman" w:asciiTheme="minorEastAsia" w:hAnsiTheme="minorEastAsia" w:eastAsiaTheme="minorEastAsia"/>
                <w:bCs/>
                <w:kern w:val="0"/>
                <w:sz w:val="26"/>
                <w:szCs w:val="26"/>
                <w:lang w:val="en-US" w:eastAsia="zh-Hans" w:bidi="ar-SA"/>
                <w14:ligatures w14:val="standardContextual"/>
              </w:rPr>
            </w:pPr>
            <w:r>
              <w:rPr>
                <w:rFonts w:hint="eastAsia" w:cs="Times New Roman" w:asciiTheme="minorEastAsia" w:hAnsiTheme="minorEastAsia" w:eastAsiaTheme="minorEastAsia"/>
                <w:bCs/>
                <w:kern w:val="0"/>
                <w:sz w:val="26"/>
                <w:szCs w:val="26"/>
                <w:lang w:val="en-US" w:eastAsia="zh-CN" w:bidi="ar-SA"/>
                <w14:ligatures w14:val="standardContextual"/>
              </w:rPr>
              <w:t>投标人承诺在本项目投标截止时间前5年内（若投标人成立年限不足5年，提供自成立起到投标截止时间）无发生安全事故的得5分。投标人须提供承诺函，未提供的本项不得分。（满分5分）</w:t>
            </w:r>
          </w:p>
        </w:tc>
      </w:tr>
      <w:tr w14:paraId="5ADE0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atLeast"/>
          <w:jc w:val="center"/>
        </w:trPr>
        <w:tc>
          <w:tcPr>
            <w:tcW w:w="761" w:type="dxa"/>
            <w:tcBorders>
              <w:top w:val="single" w:color="auto" w:sz="4" w:space="0"/>
              <w:left w:val="single" w:color="auto" w:sz="4" w:space="0"/>
              <w:bottom w:val="single" w:color="auto" w:sz="4" w:space="0"/>
              <w:right w:val="single" w:color="auto" w:sz="4" w:space="0"/>
            </w:tcBorders>
            <w:vAlign w:val="center"/>
          </w:tcPr>
          <w:p w14:paraId="19681F65">
            <w:pPr>
              <w:spacing w:line="420" w:lineRule="exact"/>
              <w:rPr>
                <w:rFonts w:hint="default" w:cs="Times New Roman" w:asciiTheme="minorEastAsia" w:hAnsiTheme="minorEastAsia" w:eastAsiaTheme="minorEastAsia"/>
                <w:bCs/>
                <w:kern w:val="0"/>
                <w:sz w:val="26"/>
                <w:szCs w:val="26"/>
                <w:lang w:val="en-US" w:eastAsia="zh-CN" w:bidi="ar-SA"/>
                <w14:ligatures w14:val="standardContextual"/>
              </w:rPr>
            </w:pPr>
            <w:r>
              <w:rPr>
                <w:rFonts w:hint="eastAsia" w:cs="Times New Roman" w:asciiTheme="minorEastAsia" w:hAnsiTheme="minorEastAsia" w:eastAsiaTheme="minorEastAsia"/>
                <w:bCs/>
                <w:kern w:val="0"/>
                <w:sz w:val="26"/>
                <w:szCs w:val="26"/>
                <w:lang w:val="en-US" w:eastAsia="zh-CN" w:bidi="ar-SA"/>
                <w14:ligatures w14:val="standardContextual"/>
              </w:rPr>
              <w:t>C2</w:t>
            </w:r>
          </w:p>
        </w:tc>
        <w:tc>
          <w:tcPr>
            <w:tcW w:w="164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1E15BC7">
            <w:pPr>
              <w:spacing w:line="420" w:lineRule="exact"/>
              <w:rPr>
                <w:rFonts w:hint="eastAsia" w:cs="Times New Roman" w:asciiTheme="minorEastAsia" w:hAnsiTheme="minorEastAsia" w:eastAsiaTheme="minorEastAsia"/>
                <w:bCs/>
                <w:kern w:val="0"/>
                <w:sz w:val="26"/>
                <w:szCs w:val="26"/>
                <w:lang w:val="en-US" w:eastAsia="zh-Hans" w:bidi="ar-SA"/>
                <w14:ligatures w14:val="standardContextual"/>
              </w:rPr>
            </w:pPr>
            <w:r>
              <w:rPr>
                <w:rFonts w:hint="eastAsia" w:cs="Times New Roman" w:asciiTheme="minorEastAsia" w:hAnsiTheme="minorEastAsia" w:eastAsiaTheme="minorEastAsia"/>
                <w:bCs/>
                <w:kern w:val="0"/>
                <w:sz w:val="26"/>
                <w:szCs w:val="26"/>
                <w:lang w:val="en-US" w:eastAsia="zh-CN" w:bidi="ar-SA"/>
                <w14:ligatures w14:val="standardContextual"/>
              </w:rPr>
              <w:t>业绩</w:t>
            </w:r>
          </w:p>
        </w:tc>
        <w:tc>
          <w:tcPr>
            <w:tcW w:w="8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892AB05">
            <w:pPr>
              <w:spacing w:line="420" w:lineRule="exact"/>
              <w:rPr>
                <w:rFonts w:hint="eastAsia" w:cs="Times New Roman" w:asciiTheme="minorEastAsia" w:hAnsiTheme="minorEastAsia" w:eastAsiaTheme="minorEastAsia"/>
                <w:bCs/>
                <w:kern w:val="0"/>
                <w:sz w:val="26"/>
                <w:szCs w:val="26"/>
                <w:lang w:val="en-US" w:eastAsia="zh-CN" w:bidi="ar-SA"/>
                <w14:ligatures w14:val="standardContextual"/>
              </w:rPr>
            </w:pPr>
            <w:r>
              <w:rPr>
                <w:rFonts w:hint="eastAsia" w:cs="Times New Roman" w:asciiTheme="minorEastAsia" w:hAnsiTheme="minorEastAsia" w:eastAsiaTheme="minorEastAsia"/>
                <w:bCs/>
                <w:kern w:val="0"/>
                <w:sz w:val="26"/>
                <w:szCs w:val="26"/>
                <w:lang w:val="en-US" w:eastAsia="zh-CN" w:bidi="ar-SA"/>
                <w14:ligatures w14:val="standardContextual"/>
              </w:rPr>
              <w:t>5.00</w:t>
            </w:r>
          </w:p>
        </w:tc>
        <w:tc>
          <w:tcPr>
            <w:tcW w:w="4907" w:type="dxa"/>
            <w:tcBorders>
              <w:top w:val="single" w:color="auto" w:sz="4" w:space="0"/>
              <w:left w:val="single" w:color="auto" w:sz="4" w:space="0"/>
              <w:bottom w:val="single" w:color="auto" w:sz="4" w:space="0"/>
              <w:right w:val="single" w:color="auto" w:sz="4" w:space="0"/>
            </w:tcBorders>
            <w:shd w:val="clear" w:color="auto" w:fill="auto"/>
            <w:vAlign w:val="top"/>
          </w:tcPr>
          <w:p w14:paraId="1E9324A4">
            <w:pPr>
              <w:spacing w:line="420" w:lineRule="exact"/>
              <w:rPr>
                <w:rFonts w:hint="eastAsia" w:cs="Times New Roman" w:asciiTheme="minorEastAsia" w:hAnsiTheme="minorEastAsia" w:eastAsiaTheme="minorEastAsia"/>
                <w:bCs/>
                <w:kern w:val="0"/>
                <w:sz w:val="26"/>
                <w:szCs w:val="26"/>
                <w:lang w:val="en-US" w:eastAsia="zh-CN" w:bidi="ar-SA"/>
                <w14:ligatures w14:val="standardContextual"/>
              </w:rPr>
            </w:pPr>
            <w:r>
              <w:rPr>
                <w:rFonts w:hint="eastAsia" w:cs="Times New Roman" w:asciiTheme="minorEastAsia" w:hAnsiTheme="minorEastAsia" w:eastAsiaTheme="minorEastAsia"/>
                <w:bCs/>
                <w:kern w:val="0"/>
                <w:sz w:val="26"/>
                <w:szCs w:val="26"/>
                <w:lang w:val="en-US" w:eastAsia="zh-CN" w:bidi="ar-SA"/>
                <w14:ligatures w14:val="standardContextual"/>
              </w:rPr>
              <w:t>根据各投标人所提供的2023年1月1日至本项目投标截止时间止（以合同日期为准）,投标人承担过同类项目（驿站服务类）业绩，每提供一份得1分，满分5分。注：需提供中标公示、中标公示网址、中标通知书、合同复印件加盖公章，不提供或者提供不全的不得分。</w:t>
            </w:r>
          </w:p>
          <w:p w14:paraId="66FF750A">
            <w:pPr>
              <w:spacing w:line="420" w:lineRule="exact"/>
              <w:rPr>
                <w:rFonts w:hint="eastAsia" w:cs="Times New Roman" w:asciiTheme="minorEastAsia" w:hAnsiTheme="minorEastAsia" w:eastAsiaTheme="minorEastAsia"/>
                <w:bCs/>
                <w:kern w:val="0"/>
                <w:sz w:val="26"/>
                <w:szCs w:val="26"/>
                <w:lang w:val="en-US" w:eastAsia="zh-CN" w:bidi="ar-SA"/>
                <w14:ligatures w14:val="standardContextual"/>
              </w:rPr>
            </w:pPr>
            <w:r>
              <w:rPr>
                <w:rFonts w:hint="eastAsia" w:cs="Times New Roman" w:asciiTheme="minorEastAsia" w:hAnsiTheme="minorEastAsia" w:eastAsiaTheme="minorEastAsia"/>
                <w:bCs/>
                <w:kern w:val="0"/>
                <w:sz w:val="26"/>
                <w:szCs w:val="26"/>
                <w:lang w:val="en-US" w:eastAsia="zh-CN" w:bidi="ar-SA"/>
                <w14:ligatures w14:val="standardContextual"/>
              </w:rPr>
              <w:t>（满分3分）</w:t>
            </w:r>
          </w:p>
        </w:tc>
      </w:tr>
      <w:tr w14:paraId="2F3CF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atLeast"/>
          <w:jc w:val="center"/>
        </w:trPr>
        <w:tc>
          <w:tcPr>
            <w:tcW w:w="761" w:type="dxa"/>
            <w:tcBorders>
              <w:top w:val="single" w:color="auto" w:sz="4" w:space="0"/>
              <w:left w:val="single" w:color="auto" w:sz="4" w:space="0"/>
              <w:bottom w:val="single" w:color="auto" w:sz="4" w:space="0"/>
              <w:right w:val="single" w:color="auto" w:sz="4" w:space="0"/>
            </w:tcBorders>
            <w:vAlign w:val="center"/>
          </w:tcPr>
          <w:p w14:paraId="0E630167">
            <w:pPr>
              <w:spacing w:line="420" w:lineRule="exact"/>
              <w:rPr>
                <w:rFonts w:hint="default" w:cs="Times New Roman" w:asciiTheme="minorEastAsia" w:hAnsiTheme="minorEastAsia" w:eastAsiaTheme="minorEastAsia"/>
                <w:bCs/>
                <w:kern w:val="0"/>
                <w:sz w:val="26"/>
                <w:szCs w:val="26"/>
                <w:lang w:val="en-US" w:eastAsia="zh-CN" w:bidi="ar-SA"/>
                <w14:ligatures w14:val="standardContextual"/>
              </w:rPr>
            </w:pPr>
            <w:r>
              <w:rPr>
                <w:rFonts w:hint="eastAsia" w:cs="Times New Roman" w:asciiTheme="minorEastAsia" w:hAnsiTheme="minorEastAsia" w:eastAsiaTheme="minorEastAsia"/>
                <w:bCs/>
                <w:kern w:val="0"/>
                <w:sz w:val="26"/>
                <w:szCs w:val="26"/>
                <w:lang w:val="en-US" w:eastAsia="zh-CN" w:bidi="ar-SA"/>
                <w14:ligatures w14:val="standardContextual"/>
              </w:rPr>
              <w:t>C3</w:t>
            </w:r>
          </w:p>
        </w:tc>
        <w:tc>
          <w:tcPr>
            <w:tcW w:w="164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22612D8">
            <w:pPr>
              <w:spacing w:line="420" w:lineRule="exact"/>
              <w:rPr>
                <w:rFonts w:hint="default" w:cs="Times New Roman" w:asciiTheme="minorEastAsia" w:hAnsiTheme="minorEastAsia" w:eastAsiaTheme="minorEastAsia"/>
                <w:bCs/>
                <w:kern w:val="0"/>
                <w:sz w:val="26"/>
                <w:szCs w:val="26"/>
                <w:lang w:val="en-US" w:eastAsia="zh-CN" w:bidi="ar-SA"/>
                <w14:ligatures w14:val="standardContextual"/>
              </w:rPr>
            </w:pPr>
            <w:r>
              <w:rPr>
                <w:rFonts w:hint="eastAsia" w:cs="Times New Roman" w:asciiTheme="minorEastAsia" w:hAnsiTheme="minorEastAsia" w:eastAsiaTheme="minorEastAsia"/>
                <w:bCs/>
                <w:kern w:val="0"/>
                <w:sz w:val="26"/>
                <w:szCs w:val="26"/>
                <w:lang w:val="en-US" w:eastAsia="zh-CN" w:bidi="ar-SA"/>
                <w14:ligatures w14:val="standardContextual"/>
              </w:rPr>
              <w:t>满意度</w:t>
            </w:r>
          </w:p>
        </w:tc>
        <w:tc>
          <w:tcPr>
            <w:tcW w:w="8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19BB7D5">
            <w:pPr>
              <w:spacing w:line="420" w:lineRule="exact"/>
              <w:rPr>
                <w:rFonts w:hint="default" w:cs="Times New Roman" w:asciiTheme="minorEastAsia" w:hAnsiTheme="minorEastAsia" w:eastAsiaTheme="minorEastAsia"/>
                <w:bCs/>
                <w:kern w:val="0"/>
                <w:sz w:val="26"/>
                <w:szCs w:val="26"/>
                <w:lang w:val="en-US" w:eastAsia="zh-CN" w:bidi="ar-SA"/>
                <w14:ligatures w14:val="standardContextual"/>
              </w:rPr>
            </w:pPr>
            <w:r>
              <w:rPr>
                <w:rFonts w:hint="eastAsia" w:cs="Times New Roman" w:asciiTheme="minorEastAsia" w:hAnsiTheme="minorEastAsia" w:eastAsiaTheme="minorEastAsia"/>
                <w:bCs/>
                <w:kern w:val="0"/>
                <w:sz w:val="26"/>
                <w:szCs w:val="26"/>
                <w:lang w:val="en-US" w:eastAsia="zh-CN" w:bidi="ar-SA"/>
                <w14:ligatures w14:val="standardContextual"/>
              </w:rPr>
              <w:t>5.00</w:t>
            </w:r>
          </w:p>
        </w:tc>
        <w:tc>
          <w:tcPr>
            <w:tcW w:w="4907" w:type="dxa"/>
            <w:tcBorders>
              <w:top w:val="single" w:color="auto" w:sz="4" w:space="0"/>
              <w:left w:val="single" w:color="auto" w:sz="4" w:space="0"/>
              <w:bottom w:val="single" w:color="auto" w:sz="4" w:space="0"/>
              <w:right w:val="single" w:color="auto" w:sz="4" w:space="0"/>
            </w:tcBorders>
            <w:shd w:val="clear" w:color="auto" w:fill="auto"/>
            <w:vAlign w:val="center"/>
          </w:tcPr>
          <w:p w14:paraId="147AFA6F">
            <w:pPr>
              <w:spacing w:line="420" w:lineRule="exact"/>
              <w:rPr>
                <w:rFonts w:hint="eastAsia" w:cs="Times New Roman" w:asciiTheme="minorEastAsia" w:hAnsiTheme="minorEastAsia" w:eastAsiaTheme="minorEastAsia"/>
                <w:bCs/>
                <w:kern w:val="0"/>
                <w:sz w:val="26"/>
                <w:szCs w:val="26"/>
                <w:lang w:val="en-US" w:eastAsia="zh-CN" w:bidi="ar-SA"/>
                <w14:ligatures w14:val="standardContextual"/>
              </w:rPr>
            </w:pPr>
            <w:r>
              <w:rPr>
                <w:rFonts w:hint="eastAsia" w:cs="Times New Roman" w:asciiTheme="minorEastAsia" w:hAnsiTheme="minorEastAsia" w:eastAsiaTheme="minorEastAsia"/>
                <w:bCs/>
                <w:kern w:val="0"/>
                <w:sz w:val="26"/>
                <w:szCs w:val="26"/>
                <w:lang w:val="en-US" w:eastAsia="zh-CN" w:bidi="ar-SA"/>
                <w14:ligatures w14:val="standardContextual"/>
              </w:rPr>
              <w:t>根据供应商提供2023年1月1日起至本项目递交首次响应文件截止时间止（日期以合同签订时间为准），所完成的同类项目的满意度评价情况，由评委进行评分：每提供一份评价意见为肯定性意见（评价为优秀（很满意）、良好（满意）的，或100分制，所得分数达到85分（含）以上的）证明的得1分，满分5分。需提供采购人出具的服务评价证明材料及合同复印件。注：C3与C2若提供同一证明材料不重复计分。</w:t>
            </w:r>
          </w:p>
        </w:tc>
      </w:tr>
      <w:tr w14:paraId="2D4D2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atLeast"/>
          <w:jc w:val="center"/>
        </w:trPr>
        <w:tc>
          <w:tcPr>
            <w:tcW w:w="761" w:type="dxa"/>
            <w:tcBorders>
              <w:top w:val="single" w:color="auto" w:sz="4" w:space="0"/>
              <w:left w:val="single" w:color="auto" w:sz="4" w:space="0"/>
              <w:bottom w:val="single" w:color="auto" w:sz="4" w:space="0"/>
              <w:right w:val="single" w:color="auto" w:sz="4" w:space="0"/>
            </w:tcBorders>
            <w:vAlign w:val="center"/>
          </w:tcPr>
          <w:p w14:paraId="5CB20BD3">
            <w:pPr>
              <w:spacing w:line="420" w:lineRule="exact"/>
              <w:rPr>
                <w:rFonts w:hint="default" w:cs="Times New Roman" w:asciiTheme="minorEastAsia" w:hAnsiTheme="minorEastAsia" w:eastAsiaTheme="minorEastAsia"/>
                <w:bCs/>
                <w:kern w:val="0"/>
                <w:sz w:val="26"/>
                <w:szCs w:val="26"/>
                <w:lang w:val="en-US" w:eastAsia="zh-CN" w:bidi="ar-SA"/>
                <w14:ligatures w14:val="standardContextual"/>
              </w:rPr>
            </w:pPr>
            <w:r>
              <w:rPr>
                <w:rFonts w:hint="eastAsia" w:cs="Times New Roman" w:asciiTheme="minorEastAsia" w:hAnsiTheme="minorEastAsia" w:eastAsiaTheme="minorEastAsia"/>
                <w:bCs/>
                <w:kern w:val="0"/>
                <w:sz w:val="26"/>
                <w:szCs w:val="26"/>
                <w:lang w:val="en-US" w:eastAsia="zh-CN" w:bidi="ar-SA"/>
                <w14:ligatures w14:val="standardContextual"/>
              </w:rPr>
              <w:t>C4</w:t>
            </w:r>
          </w:p>
        </w:tc>
        <w:tc>
          <w:tcPr>
            <w:tcW w:w="164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518C5BC">
            <w:pPr>
              <w:spacing w:line="420" w:lineRule="exact"/>
              <w:rPr>
                <w:rFonts w:hint="eastAsia" w:cs="Times New Roman" w:asciiTheme="minorEastAsia" w:hAnsiTheme="minorEastAsia" w:eastAsiaTheme="minorEastAsia"/>
                <w:bCs/>
                <w:kern w:val="0"/>
                <w:sz w:val="26"/>
                <w:szCs w:val="26"/>
                <w:lang w:val="en-US" w:eastAsia="zh-CN" w:bidi="ar-SA"/>
                <w14:ligatures w14:val="standardContextual"/>
              </w:rPr>
            </w:pPr>
            <w:r>
              <w:rPr>
                <w:rFonts w:hint="eastAsia" w:cs="Times New Roman" w:asciiTheme="minorEastAsia" w:hAnsiTheme="minorEastAsia" w:eastAsiaTheme="minorEastAsia"/>
                <w:bCs/>
                <w:kern w:val="0"/>
                <w:sz w:val="26"/>
                <w:szCs w:val="26"/>
                <w:lang w:val="en-US" w:eastAsia="zh-CN" w:bidi="ar-SA"/>
                <w14:ligatures w14:val="standardContextual"/>
              </w:rPr>
              <w:t>售后服务方案</w:t>
            </w:r>
          </w:p>
        </w:tc>
        <w:tc>
          <w:tcPr>
            <w:tcW w:w="8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1366CE4">
            <w:pPr>
              <w:spacing w:line="420" w:lineRule="exact"/>
              <w:rPr>
                <w:rFonts w:hint="eastAsia" w:cs="Times New Roman" w:asciiTheme="minorEastAsia" w:hAnsiTheme="minorEastAsia" w:eastAsiaTheme="minorEastAsia"/>
                <w:bCs/>
                <w:kern w:val="0"/>
                <w:sz w:val="26"/>
                <w:szCs w:val="26"/>
                <w:lang w:val="en-US" w:eastAsia="zh-CN" w:bidi="ar-SA"/>
                <w14:ligatures w14:val="standardContextual"/>
              </w:rPr>
            </w:pPr>
            <w:r>
              <w:rPr>
                <w:rFonts w:hint="eastAsia" w:cs="Times New Roman" w:asciiTheme="minorEastAsia" w:hAnsiTheme="minorEastAsia" w:eastAsiaTheme="minorEastAsia"/>
                <w:bCs/>
                <w:kern w:val="0"/>
                <w:sz w:val="26"/>
                <w:szCs w:val="26"/>
                <w:lang w:val="en-US" w:eastAsia="zh-CN" w:bidi="ar-SA"/>
                <w14:ligatures w14:val="standardContextual"/>
              </w:rPr>
              <w:t>3.00</w:t>
            </w:r>
          </w:p>
        </w:tc>
        <w:tc>
          <w:tcPr>
            <w:tcW w:w="4907" w:type="dxa"/>
            <w:tcBorders>
              <w:top w:val="single" w:color="auto" w:sz="4" w:space="0"/>
              <w:left w:val="single" w:color="auto" w:sz="4" w:space="0"/>
              <w:bottom w:val="single" w:color="auto" w:sz="4" w:space="0"/>
              <w:right w:val="single" w:color="auto" w:sz="4" w:space="0"/>
            </w:tcBorders>
            <w:shd w:val="clear" w:color="auto" w:fill="auto"/>
            <w:vAlign w:val="top"/>
          </w:tcPr>
          <w:p w14:paraId="1AB1A05C">
            <w:pPr>
              <w:spacing w:line="420" w:lineRule="exact"/>
              <w:rPr>
                <w:rFonts w:hint="eastAsia" w:cs="Times New Roman" w:asciiTheme="minorEastAsia" w:hAnsiTheme="minorEastAsia" w:eastAsiaTheme="minorEastAsia"/>
                <w:bCs/>
                <w:kern w:val="0"/>
                <w:sz w:val="26"/>
                <w:szCs w:val="26"/>
                <w:lang w:val="en-US" w:eastAsia="zh-Hans" w:bidi="ar-SA"/>
                <w14:ligatures w14:val="standardContextual"/>
              </w:rPr>
            </w:pPr>
            <w:r>
              <w:rPr>
                <w:rFonts w:hint="eastAsia" w:cs="Times New Roman" w:asciiTheme="minorEastAsia" w:hAnsiTheme="minorEastAsia" w:eastAsiaTheme="minorEastAsia"/>
                <w:bCs/>
                <w:kern w:val="0"/>
                <w:sz w:val="26"/>
                <w:szCs w:val="26"/>
                <w:lang w:val="en-US" w:eastAsia="zh-CN" w:bidi="ar-SA"/>
                <w14:ligatures w14:val="standardContextual"/>
              </w:rPr>
              <w:t>根据投标人提供的售后服务方案（包括</w:t>
            </w:r>
            <w:r>
              <w:rPr>
                <w:rFonts w:hint="eastAsia" w:cs="Times New Roman" w:asciiTheme="minorEastAsia" w:hAnsiTheme="minorEastAsia" w:eastAsiaTheme="minorEastAsia"/>
                <w:bCs/>
                <w:kern w:val="0"/>
                <w:sz w:val="26"/>
                <w:szCs w:val="26"/>
                <w:lang w:val="zh-CN" w:eastAsia="zh-CN" w:bidi="ar-SA"/>
                <w14:ligatures w14:val="standardContextual"/>
              </w:rPr>
              <w:t>损件丢件</w:t>
            </w:r>
            <w:r>
              <w:rPr>
                <w:rFonts w:hint="eastAsia" w:cs="Times New Roman" w:asciiTheme="minorEastAsia" w:hAnsiTheme="minorEastAsia" w:eastAsiaTheme="minorEastAsia"/>
                <w:bCs/>
                <w:kern w:val="0"/>
                <w:sz w:val="26"/>
                <w:szCs w:val="26"/>
                <w:lang w:val="en-US" w:eastAsia="zh-CN" w:bidi="ar-SA"/>
                <w14:ligatures w14:val="standardContextual"/>
              </w:rPr>
              <w:t>的赔偿措施等内容），由评标委员会进行评议,方案所包含的要点齐全、内容与要点相符、内容详实，具有可操作性的得3分；方案所包含的要点齐全、内容与要点相符，内容相对简略，具有可操作性的得2.9分；方案所包含的要点缺项，内容与要点相符，内容相对简略，可操作性不明显的得2.8分。操作性不强或未提供本项不得分。（满分3分）</w:t>
            </w:r>
          </w:p>
        </w:tc>
      </w:tr>
    </w:tbl>
    <w:p w14:paraId="2D093254">
      <w:pPr>
        <w:spacing w:line="420" w:lineRule="exact"/>
        <w:rPr>
          <w:rFonts w:hint="eastAsia" w:cs="Times New Roman" w:asciiTheme="minorEastAsia" w:hAnsiTheme="minorEastAsia" w:eastAsiaTheme="minorEastAsia"/>
          <w:bCs/>
          <w:kern w:val="0"/>
          <w:sz w:val="26"/>
          <w:szCs w:val="26"/>
          <w:lang w:val="en-US" w:eastAsia="zh-CN" w:bidi="ar-SA"/>
          <w14:ligatures w14:val="standardContextual"/>
        </w:rPr>
      </w:pPr>
    </w:p>
    <w:p w14:paraId="7540E55F">
      <w:pPr>
        <w:spacing w:line="420" w:lineRule="exact"/>
        <w:rPr>
          <w:rFonts w:hint="eastAsia" w:cs="Times New Roman" w:asciiTheme="minorEastAsia" w:hAnsiTheme="minorEastAsia" w:eastAsiaTheme="minorEastAsia"/>
          <w:bCs/>
          <w:kern w:val="0"/>
          <w:sz w:val="26"/>
          <w:szCs w:val="26"/>
          <w:lang w:val="en-US" w:eastAsia="zh-CN" w:bidi="ar-SA"/>
          <w14:ligatures w14:val="standardContextual"/>
        </w:rPr>
      </w:pPr>
    </w:p>
    <w:p w14:paraId="2BF73F36">
      <w:pPr>
        <w:pStyle w:val="11"/>
      </w:pPr>
    </w:p>
    <w:p w14:paraId="009B5832">
      <w:pPr>
        <w:pStyle w:val="11"/>
      </w:pPr>
    </w:p>
    <w:p w14:paraId="5F438A75">
      <w:pPr>
        <w:pStyle w:val="11"/>
      </w:pPr>
    </w:p>
    <w:p w14:paraId="0918B7FF">
      <w:pPr>
        <w:pStyle w:val="11"/>
      </w:pPr>
    </w:p>
    <w:p w14:paraId="075BFF3B">
      <w:pPr>
        <w:pStyle w:val="11"/>
      </w:pPr>
    </w:p>
    <w:p w14:paraId="5DBBE43E">
      <w:pPr>
        <w:pStyle w:val="11"/>
      </w:pPr>
    </w:p>
    <w:p w14:paraId="553BE7AD">
      <w:pPr>
        <w:pStyle w:val="11"/>
      </w:pPr>
    </w:p>
    <w:p w14:paraId="5B0E2E73">
      <w:pPr>
        <w:pStyle w:val="11"/>
      </w:pPr>
    </w:p>
    <w:p w14:paraId="618265F1">
      <w:pPr>
        <w:pStyle w:val="11"/>
      </w:pPr>
    </w:p>
    <w:p w14:paraId="2EBB311C">
      <w:pPr>
        <w:pStyle w:val="11"/>
      </w:pPr>
    </w:p>
    <w:p w14:paraId="3D88FABB">
      <w:pPr>
        <w:ind w:firstLine="3357" w:firstLineChars="1045"/>
        <w:rPr>
          <w:rFonts w:ascii="宋体" w:hAnsi="宋体" w:eastAsia="仿宋_GB2312"/>
          <w:b/>
          <w:sz w:val="32"/>
          <w:szCs w:val="32"/>
        </w:rPr>
      </w:pPr>
    </w:p>
    <w:p w14:paraId="5EE4B5CE">
      <w:pPr>
        <w:ind w:firstLine="3357" w:firstLineChars="1045"/>
        <w:rPr>
          <w:rFonts w:hint="eastAsia" w:ascii="宋体" w:hAnsi="宋体" w:eastAsia="仿宋_GB2312"/>
          <w:b/>
          <w:sz w:val="32"/>
          <w:szCs w:val="32"/>
        </w:rPr>
      </w:pPr>
    </w:p>
    <w:p w14:paraId="4E2E0118">
      <w:pPr>
        <w:ind w:firstLine="3357" w:firstLineChars="1045"/>
        <w:rPr>
          <w:rFonts w:hint="eastAsia" w:ascii="宋体" w:hAnsi="宋体" w:eastAsia="仿宋_GB2312"/>
          <w:b/>
          <w:sz w:val="32"/>
          <w:szCs w:val="32"/>
        </w:rPr>
      </w:pPr>
    </w:p>
    <w:p w14:paraId="447E725B">
      <w:pPr>
        <w:ind w:firstLine="3357" w:firstLineChars="1045"/>
        <w:rPr>
          <w:rFonts w:hint="eastAsia" w:ascii="宋体" w:hAnsi="宋体" w:eastAsia="仿宋_GB2312"/>
          <w:b/>
          <w:sz w:val="32"/>
          <w:szCs w:val="32"/>
        </w:rPr>
      </w:pPr>
    </w:p>
    <w:p w14:paraId="194FB6AB">
      <w:pPr>
        <w:ind w:firstLine="3357" w:firstLineChars="1045"/>
        <w:rPr>
          <w:rFonts w:hint="eastAsia" w:ascii="宋体" w:hAnsi="宋体" w:eastAsia="仿宋_GB2312"/>
          <w:b/>
          <w:sz w:val="32"/>
          <w:szCs w:val="32"/>
        </w:rPr>
      </w:pPr>
    </w:p>
    <w:p w14:paraId="34895DBD">
      <w:pPr>
        <w:ind w:firstLine="3357" w:firstLineChars="1045"/>
        <w:rPr>
          <w:rFonts w:hint="eastAsia" w:ascii="宋体" w:hAnsi="宋体" w:eastAsia="仿宋_GB2312"/>
          <w:b/>
          <w:sz w:val="32"/>
          <w:szCs w:val="32"/>
        </w:rPr>
      </w:pPr>
    </w:p>
    <w:p w14:paraId="6C8F45E7">
      <w:pPr>
        <w:ind w:firstLine="3357" w:firstLineChars="1045"/>
        <w:rPr>
          <w:rFonts w:hint="eastAsia" w:ascii="宋体" w:hAnsi="宋体" w:eastAsia="仿宋_GB2312"/>
          <w:b/>
          <w:sz w:val="32"/>
          <w:szCs w:val="32"/>
        </w:rPr>
      </w:pPr>
    </w:p>
    <w:p w14:paraId="7C12DC11">
      <w:pPr>
        <w:ind w:firstLine="3357" w:firstLineChars="1045"/>
        <w:rPr>
          <w:rFonts w:hint="eastAsia" w:ascii="宋体" w:hAnsi="宋体" w:eastAsia="仿宋_GB2312"/>
          <w:b/>
          <w:sz w:val="32"/>
          <w:szCs w:val="32"/>
        </w:rPr>
      </w:pPr>
    </w:p>
    <w:p w14:paraId="1644CAE1">
      <w:pPr>
        <w:rPr>
          <w:rFonts w:hint="eastAsia" w:ascii="宋体" w:hAnsi="宋体" w:eastAsia="仿宋_GB2312"/>
          <w:b/>
          <w:sz w:val="32"/>
          <w:szCs w:val="32"/>
        </w:rPr>
      </w:pPr>
      <w:r>
        <w:rPr>
          <w:rFonts w:hint="eastAsia" w:ascii="宋体" w:hAnsi="宋体" w:eastAsia="仿宋_GB2312"/>
          <w:b/>
          <w:sz w:val="32"/>
          <w:szCs w:val="32"/>
        </w:rPr>
        <w:br w:type="page"/>
      </w:r>
    </w:p>
    <w:p w14:paraId="083C7FB3">
      <w:pPr>
        <w:ind w:firstLine="3357" w:firstLineChars="1045"/>
        <w:rPr>
          <w:rFonts w:ascii="宋体" w:hAnsi="宋体" w:eastAsia="仿宋_GB2312"/>
          <w:b/>
          <w:sz w:val="32"/>
          <w:szCs w:val="32"/>
        </w:rPr>
      </w:pPr>
      <w:r>
        <w:rPr>
          <w:rFonts w:hint="eastAsia" w:ascii="宋体" w:hAnsi="宋体" w:eastAsia="仿宋_GB2312"/>
          <w:b/>
          <w:sz w:val="32"/>
          <w:szCs w:val="32"/>
        </w:rPr>
        <w:t>响应文件格式</w:t>
      </w:r>
    </w:p>
    <w:p w14:paraId="491429C1">
      <w:pPr>
        <w:rPr>
          <w:rFonts w:ascii="宋体" w:hAnsi="宋体" w:eastAsia="仿宋_GB2312"/>
          <w:b/>
          <w:sz w:val="32"/>
          <w:szCs w:val="32"/>
        </w:rPr>
      </w:pPr>
    </w:p>
    <w:p w14:paraId="35CE5358">
      <w:pPr>
        <w:jc w:val="center"/>
        <w:rPr>
          <w:b/>
          <w:sz w:val="32"/>
          <w:szCs w:val="32"/>
        </w:rPr>
      </w:pPr>
    </w:p>
    <w:p w14:paraId="51C6A5B6">
      <w:pPr>
        <w:jc w:val="center"/>
        <w:rPr>
          <w:b/>
          <w:sz w:val="32"/>
          <w:szCs w:val="32"/>
        </w:rPr>
      </w:pPr>
      <w:r>
        <w:rPr>
          <w:rFonts w:hint="eastAsia"/>
          <w:b/>
          <w:sz w:val="32"/>
          <w:szCs w:val="32"/>
        </w:rPr>
        <w:t>一、投标书</w:t>
      </w:r>
    </w:p>
    <w:p w14:paraId="3D32F9D4">
      <w:pPr>
        <w:rPr>
          <w:sz w:val="24"/>
        </w:rPr>
      </w:pPr>
      <w:r>
        <w:rPr>
          <w:rFonts w:hint="eastAsia"/>
          <w:sz w:val="24"/>
        </w:rPr>
        <w:t>福建省肿瘤医院</w:t>
      </w:r>
    </w:p>
    <w:p w14:paraId="01B8D973">
      <w:pPr>
        <w:rPr>
          <w:sz w:val="24"/>
        </w:rPr>
      </w:pPr>
      <w:r>
        <w:rPr>
          <w:rFonts w:hint="eastAsia"/>
          <w:sz w:val="24"/>
        </w:rPr>
        <w:t>1、根据你方项目的投标/磋商/谈判邀请，遵照有关规定，经踏勘项目现场和研究上述磋商文件及其他有关文件后，我方愿以附件中“投标报价清单”的报价并按招标/磋商/谈判文件等要求承包上述项目，并承担任何质量缺陷保修责任。</w:t>
      </w:r>
    </w:p>
    <w:p w14:paraId="0E90A7ED">
      <w:pPr>
        <w:ind w:firstLine="456" w:firstLineChars="190"/>
        <w:rPr>
          <w:sz w:val="24"/>
        </w:rPr>
      </w:pPr>
      <w:r>
        <w:rPr>
          <w:rFonts w:hint="eastAsia"/>
          <w:sz w:val="24"/>
        </w:rPr>
        <w:t>2、我方已详细审核全部招标/磋商/谈判文件及有关附件。</w:t>
      </w:r>
    </w:p>
    <w:p w14:paraId="24E0FAE9">
      <w:pPr>
        <w:ind w:firstLine="456" w:firstLineChars="190"/>
        <w:rPr>
          <w:sz w:val="24"/>
        </w:rPr>
      </w:pPr>
      <w:r>
        <w:rPr>
          <w:rFonts w:hint="eastAsia"/>
          <w:sz w:val="24"/>
        </w:rPr>
        <w:t>3、一旦我方中标，我方保证质量达到招标/磋商/谈判</w:t>
      </w:r>
      <w:r>
        <w:rPr>
          <w:rFonts w:hint="eastAsia"/>
          <w:b/>
          <w:sz w:val="24"/>
          <w:u w:val="single"/>
        </w:rPr>
        <w:t>文件、</w:t>
      </w:r>
      <w:r>
        <w:rPr>
          <w:rFonts w:hint="eastAsia"/>
          <w:sz w:val="24"/>
        </w:rPr>
        <w:t>投标/</w:t>
      </w:r>
      <w:r>
        <w:rPr>
          <w:rFonts w:hint="eastAsia"/>
          <w:b/>
          <w:sz w:val="24"/>
          <w:u w:val="single"/>
        </w:rPr>
        <w:t>响应文件等规定</w:t>
      </w:r>
      <w:r>
        <w:rPr>
          <w:rFonts w:hint="eastAsia"/>
          <w:sz w:val="24"/>
        </w:rPr>
        <w:t>标准。</w:t>
      </w:r>
    </w:p>
    <w:p w14:paraId="5EE3763E">
      <w:pPr>
        <w:ind w:firstLine="456" w:firstLineChars="190"/>
        <w:rPr>
          <w:sz w:val="24"/>
        </w:rPr>
      </w:pPr>
      <w:r>
        <w:rPr>
          <w:rFonts w:hint="eastAsia"/>
          <w:sz w:val="24"/>
        </w:rPr>
        <w:t>4、我方同意所提交的投标/响应文件的有效期为120天，在此期间内如果中标/成交，我方将受此约束。</w:t>
      </w:r>
    </w:p>
    <w:p w14:paraId="7E041E4A">
      <w:pPr>
        <w:ind w:firstLine="426"/>
        <w:rPr>
          <w:sz w:val="24"/>
        </w:rPr>
      </w:pPr>
      <w:r>
        <w:rPr>
          <w:rFonts w:hint="eastAsia"/>
          <w:sz w:val="24"/>
        </w:rPr>
        <w:t>5、除非另外达成协议并生效，你方的中标/成交通知书和本投标/响应文件将成为约束双方的合同文件的组成部分。</w:t>
      </w:r>
    </w:p>
    <w:p w14:paraId="15392787">
      <w:pPr>
        <w:ind w:firstLine="480" w:firstLineChars="200"/>
        <w:rPr>
          <w:sz w:val="24"/>
        </w:rPr>
      </w:pPr>
      <w:r>
        <w:rPr>
          <w:rFonts w:hint="eastAsia"/>
          <w:sz w:val="24"/>
        </w:rPr>
        <w:t>附件：报价清单</w:t>
      </w:r>
    </w:p>
    <w:p w14:paraId="7121892B">
      <w:pPr>
        <w:ind w:firstLine="2760" w:firstLineChars="1150"/>
        <w:rPr>
          <w:sz w:val="24"/>
        </w:rPr>
      </w:pPr>
      <w:r>
        <w:rPr>
          <w:rFonts w:hint="eastAsia"/>
          <w:sz w:val="24"/>
        </w:rPr>
        <w:t>供应商（盖章）：</w:t>
      </w:r>
    </w:p>
    <w:p w14:paraId="03F63F32">
      <w:pPr>
        <w:rPr>
          <w:sz w:val="24"/>
        </w:rPr>
      </w:pPr>
    </w:p>
    <w:p w14:paraId="6292A2DA">
      <w:pPr>
        <w:ind w:firstLine="2760" w:firstLineChars="1150"/>
        <w:rPr>
          <w:sz w:val="24"/>
        </w:rPr>
      </w:pPr>
      <w:r>
        <w:rPr>
          <w:rFonts w:hint="eastAsia"/>
          <w:sz w:val="24"/>
        </w:rPr>
        <w:t>单位地址：</w:t>
      </w:r>
    </w:p>
    <w:p w14:paraId="7BB1AE0F">
      <w:pPr>
        <w:rPr>
          <w:sz w:val="24"/>
        </w:rPr>
      </w:pPr>
    </w:p>
    <w:p w14:paraId="35D4CFD5">
      <w:pPr>
        <w:ind w:firstLine="2760" w:firstLineChars="1150"/>
        <w:rPr>
          <w:sz w:val="24"/>
        </w:rPr>
      </w:pPr>
      <w:r>
        <w:rPr>
          <w:rFonts w:hint="eastAsia"/>
          <w:sz w:val="24"/>
        </w:rPr>
        <w:t>法定代表人（签字或盖章）：</w:t>
      </w:r>
    </w:p>
    <w:p w14:paraId="64B866B6">
      <w:pPr>
        <w:rPr>
          <w:sz w:val="24"/>
        </w:rPr>
      </w:pPr>
    </w:p>
    <w:p w14:paraId="4252FBFC">
      <w:pPr>
        <w:ind w:firstLine="2760" w:firstLineChars="1150"/>
        <w:rPr>
          <w:sz w:val="24"/>
        </w:rPr>
      </w:pPr>
      <w:r>
        <w:rPr>
          <w:rFonts w:hint="eastAsia"/>
          <w:sz w:val="24"/>
        </w:rPr>
        <w:t>邮政编码：电话：传真：</w:t>
      </w:r>
    </w:p>
    <w:p w14:paraId="1DD244B2">
      <w:pPr>
        <w:rPr>
          <w:sz w:val="24"/>
        </w:rPr>
      </w:pPr>
    </w:p>
    <w:p w14:paraId="2520900D">
      <w:pPr>
        <w:ind w:firstLine="600"/>
        <w:rPr>
          <w:sz w:val="24"/>
        </w:rPr>
      </w:pPr>
    </w:p>
    <w:p w14:paraId="7DC53321">
      <w:pPr>
        <w:ind w:firstLine="5160" w:firstLineChars="2150"/>
        <w:rPr>
          <w:sz w:val="18"/>
          <w:szCs w:val="18"/>
          <w:u w:val="single"/>
        </w:rPr>
      </w:pPr>
      <w:r>
        <w:rPr>
          <w:rFonts w:hint="eastAsia"/>
          <w:sz w:val="24"/>
        </w:rPr>
        <w:t>日期：年月日</w:t>
      </w:r>
      <w:r>
        <w:rPr>
          <w:rFonts w:hint="eastAsia"/>
          <w:sz w:val="24"/>
        </w:rPr>
        <w:br w:type="page"/>
      </w:r>
    </w:p>
    <w:p w14:paraId="789EA6CA">
      <w:pPr>
        <w:tabs>
          <w:tab w:val="left" w:pos="360"/>
        </w:tabs>
        <w:snapToGrid w:val="0"/>
        <w:spacing w:line="400" w:lineRule="exact"/>
        <w:ind w:left="360"/>
        <w:jc w:val="left"/>
        <w:rPr>
          <w:sz w:val="28"/>
          <w:szCs w:val="28"/>
        </w:rPr>
      </w:pPr>
    </w:p>
    <w:p w14:paraId="0637EED2">
      <w:pPr>
        <w:jc w:val="center"/>
        <w:rPr>
          <w:b/>
          <w:sz w:val="32"/>
          <w:szCs w:val="32"/>
        </w:rPr>
      </w:pPr>
      <w:r>
        <w:rPr>
          <w:rFonts w:hint="eastAsia"/>
          <w:b/>
          <w:sz w:val="32"/>
          <w:szCs w:val="32"/>
        </w:rPr>
        <w:t>最终报价表</w:t>
      </w:r>
    </w:p>
    <w:p w14:paraId="3B30D89E">
      <w:pPr>
        <w:tabs>
          <w:tab w:val="left" w:pos="360"/>
        </w:tabs>
        <w:snapToGrid w:val="0"/>
        <w:spacing w:line="400" w:lineRule="exact"/>
        <w:ind w:left="360"/>
        <w:jc w:val="left"/>
        <w:rPr>
          <w:rFonts w:ascii="宋体" w:hAnsi="宋体" w:cs="Arial"/>
          <w:sz w:val="24"/>
        </w:rPr>
      </w:pPr>
      <w:r>
        <w:rPr>
          <w:rFonts w:hint="eastAsia"/>
          <w:sz w:val="28"/>
          <w:szCs w:val="28"/>
        </w:rPr>
        <w:t>我司愿意以总价（大写人民币）：整承接本项目。</w:t>
      </w:r>
      <w:r>
        <w:rPr>
          <w:rFonts w:hint="eastAsia" w:ascii="宋体" w:hAnsi="宋体" w:cs="Arial"/>
          <w:sz w:val="24"/>
        </w:rPr>
        <w:t>包含完成本项目服务所需一切费用的含税包干报价</w:t>
      </w:r>
    </w:p>
    <w:p w14:paraId="72D3F521">
      <w:pPr>
        <w:tabs>
          <w:tab w:val="left" w:pos="360"/>
        </w:tabs>
        <w:snapToGrid w:val="0"/>
        <w:spacing w:line="400" w:lineRule="exact"/>
        <w:ind w:left="360"/>
        <w:jc w:val="left"/>
        <w:rPr>
          <w:sz w:val="28"/>
          <w:szCs w:val="28"/>
        </w:rPr>
      </w:pPr>
      <w:r>
        <w:rPr>
          <w:rFonts w:hint="eastAsia"/>
          <w:sz w:val="28"/>
          <w:szCs w:val="28"/>
        </w:rPr>
        <w:t>清单</w:t>
      </w:r>
    </w:p>
    <w:tbl>
      <w:tblPr>
        <w:tblStyle w:val="20"/>
        <w:tblW w:w="0" w:type="auto"/>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51"/>
        <w:gridCol w:w="1650"/>
        <w:gridCol w:w="1598"/>
        <w:gridCol w:w="1598"/>
        <w:gridCol w:w="1598"/>
      </w:tblGrid>
      <w:tr w14:paraId="0C3CC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1651" w:type="dxa"/>
            <w:tcBorders>
              <w:top w:val="single" w:color="auto" w:sz="4" w:space="0"/>
              <w:left w:val="single" w:color="auto" w:sz="4" w:space="0"/>
              <w:bottom w:val="single" w:color="auto" w:sz="4" w:space="0"/>
              <w:right w:val="single" w:color="auto" w:sz="4" w:space="0"/>
            </w:tcBorders>
            <w:vAlign w:val="center"/>
          </w:tcPr>
          <w:p w14:paraId="60816164">
            <w:pPr>
              <w:widowControl/>
              <w:jc w:val="center"/>
              <w:textAlignment w:val="center"/>
              <w:rPr>
                <w:rFonts w:ascii="宋体" w:hAnsi="宋体" w:cs="宋体"/>
                <w:kern w:val="0"/>
                <w:sz w:val="20"/>
                <w:szCs w:val="20"/>
              </w:rPr>
            </w:pPr>
            <w:r>
              <w:rPr>
                <w:rFonts w:hint="eastAsia" w:ascii="宋体" w:hAnsi="宋体" w:cs="宋体"/>
                <w:kern w:val="0"/>
                <w:sz w:val="20"/>
                <w:szCs w:val="20"/>
              </w:rPr>
              <w:t>品名</w:t>
            </w:r>
          </w:p>
        </w:tc>
        <w:tc>
          <w:tcPr>
            <w:tcW w:w="1650" w:type="dxa"/>
            <w:tcBorders>
              <w:top w:val="single" w:color="auto" w:sz="4" w:space="0"/>
              <w:left w:val="single" w:color="auto" w:sz="4" w:space="0"/>
              <w:bottom w:val="single" w:color="auto" w:sz="4" w:space="0"/>
              <w:right w:val="single" w:color="auto" w:sz="4" w:space="0"/>
            </w:tcBorders>
            <w:vAlign w:val="center"/>
          </w:tcPr>
          <w:p w14:paraId="6078A19C">
            <w:pPr>
              <w:widowControl/>
              <w:jc w:val="center"/>
              <w:textAlignment w:val="center"/>
              <w:rPr>
                <w:rFonts w:ascii="宋体" w:hAnsi="宋体" w:cs="宋体"/>
                <w:kern w:val="0"/>
                <w:sz w:val="20"/>
                <w:szCs w:val="20"/>
              </w:rPr>
            </w:pPr>
            <w:r>
              <w:rPr>
                <w:rFonts w:hint="eastAsia" w:ascii="宋体" w:hAnsi="宋体" w:cs="宋体"/>
                <w:kern w:val="0"/>
                <w:sz w:val="20"/>
                <w:szCs w:val="20"/>
              </w:rPr>
              <w:t>数量</w:t>
            </w:r>
          </w:p>
        </w:tc>
        <w:tc>
          <w:tcPr>
            <w:tcW w:w="1598" w:type="dxa"/>
            <w:tcBorders>
              <w:top w:val="single" w:color="auto" w:sz="4" w:space="0"/>
              <w:left w:val="single" w:color="auto" w:sz="4" w:space="0"/>
              <w:bottom w:val="single" w:color="auto" w:sz="4" w:space="0"/>
              <w:right w:val="single" w:color="auto" w:sz="4" w:space="0"/>
            </w:tcBorders>
            <w:vAlign w:val="center"/>
          </w:tcPr>
          <w:p w14:paraId="20E077AB">
            <w:pPr>
              <w:tabs>
                <w:tab w:val="left" w:pos="360"/>
              </w:tabs>
              <w:snapToGrid w:val="0"/>
              <w:spacing w:line="400" w:lineRule="exact"/>
              <w:jc w:val="center"/>
              <w:rPr>
                <w:kern w:val="2"/>
                <w:sz w:val="24"/>
              </w:rPr>
            </w:pPr>
            <w:r>
              <w:rPr>
                <w:rFonts w:hint="eastAsia"/>
                <w:kern w:val="0"/>
                <w:sz w:val="24"/>
              </w:rPr>
              <w:t>规格</w:t>
            </w:r>
          </w:p>
        </w:tc>
        <w:tc>
          <w:tcPr>
            <w:tcW w:w="1598" w:type="dxa"/>
            <w:tcBorders>
              <w:top w:val="single" w:color="auto" w:sz="4" w:space="0"/>
              <w:left w:val="single" w:color="auto" w:sz="4" w:space="0"/>
              <w:bottom w:val="single" w:color="auto" w:sz="4" w:space="0"/>
              <w:right w:val="single" w:color="auto" w:sz="4" w:space="0"/>
            </w:tcBorders>
            <w:vAlign w:val="center"/>
          </w:tcPr>
          <w:p w14:paraId="5A49A7C4">
            <w:pPr>
              <w:tabs>
                <w:tab w:val="left" w:pos="360"/>
              </w:tabs>
              <w:snapToGrid w:val="0"/>
              <w:spacing w:line="400" w:lineRule="exact"/>
              <w:jc w:val="center"/>
              <w:rPr>
                <w:kern w:val="0"/>
                <w:sz w:val="24"/>
              </w:rPr>
            </w:pPr>
            <w:r>
              <w:rPr>
                <w:rFonts w:hint="eastAsia"/>
                <w:kern w:val="0"/>
                <w:sz w:val="24"/>
              </w:rPr>
              <w:t>单价</w:t>
            </w:r>
          </w:p>
        </w:tc>
        <w:tc>
          <w:tcPr>
            <w:tcW w:w="1598" w:type="dxa"/>
            <w:tcBorders>
              <w:top w:val="single" w:color="auto" w:sz="4" w:space="0"/>
              <w:left w:val="single" w:color="auto" w:sz="4" w:space="0"/>
              <w:bottom w:val="single" w:color="auto" w:sz="4" w:space="0"/>
              <w:right w:val="single" w:color="auto" w:sz="4" w:space="0"/>
            </w:tcBorders>
            <w:vAlign w:val="center"/>
          </w:tcPr>
          <w:p w14:paraId="4778F75D">
            <w:pPr>
              <w:tabs>
                <w:tab w:val="left" w:pos="360"/>
              </w:tabs>
              <w:snapToGrid w:val="0"/>
              <w:spacing w:line="400" w:lineRule="exact"/>
              <w:jc w:val="center"/>
              <w:rPr>
                <w:kern w:val="0"/>
                <w:sz w:val="24"/>
              </w:rPr>
            </w:pPr>
            <w:r>
              <w:rPr>
                <w:rFonts w:hint="eastAsia"/>
                <w:kern w:val="0"/>
                <w:sz w:val="24"/>
              </w:rPr>
              <w:t>合计</w:t>
            </w:r>
          </w:p>
        </w:tc>
      </w:tr>
      <w:tr w14:paraId="2C51E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1651" w:type="dxa"/>
            <w:tcBorders>
              <w:top w:val="single" w:color="auto" w:sz="4" w:space="0"/>
              <w:left w:val="single" w:color="auto" w:sz="4" w:space="0"/>
              <w:bottom w:val="single" w:color="auto" w:sz="4" w:space="0"/>
              <w:right w:val="single" w:color="auto" w:sz="4" w:space="0"/>
            </w:tcBorders>
            <w:vAlign w:val="center"/>
          </w:tcPr>
          <w:p w14:paraId="638CE47D">
            <w:pPr>
              <w:jc w:val="center"/>
              <w:rPr>
                <w:rFonts w:ascii="宋体" w:hAnsi="宋体"/>
                <w:b/>
                <w:kern w:val="0"/>
                <w:sz w:val="24"/>
              </w:rPr>
            </w:pPr>
          </w:p>
        </w:tc>
        <w:tc>
          <w:tcPr>
            <w:tcW w:w="1650" w:type="dxa"/>
            <w:tcBorders>
              <w:top w:val="single" w:color="auto" w:sz="4" w:space="0"/>
              <w:left w:val="single" w:color="auto" w:sz="4" w:space="0"/>
              <w:bottom w:val="single" w:color="auto" w:sz="4" w:space="0"/>
              <w:right w:val="single" w:color="auto" w:sz="4" w:space="0"/>
            </w:tcBorders>
            <w:vAlign w:val="center"/>
          </w:tcPr>
          <w:p w14:paraId="76F56E28">
            <w:pPr>
              <w:widowControl/>
              <w:jc w:val="center"/>
              <w:textAlignment w:val="center"/>
              <w:rPr>
                <w:kern w:val="0"/>
                <w:sz w:val="21"/>
              </w:rPr>
            </w:pPr>
          </w:p>
        </w:tc>
        <w:tc>
          <w:tcPr>
            <w:tcW w:w="1598" w:type="dxa"/>
            <w:tcBorders>
              <w:top w:val="single" w:color="auto" w:sz="4" w:space="0"/>
              <w:left w:val="single" w:color="auto" w:sz="4" w:space="0"/>
              <w:bottom w:val="single" w:color="auto" w:sz="4" w:space="0"/>
              <w:right w:val="single" w:color="auto" w:sz="4" w:space="0"/>
            </w:tcBorders>
            <w:vAlign w:val="center"/>
          </w:tcPr>
          <w:p w14:paraId="45C79747">
            <w:pPr>
              <w:widowControl/>
              <w:jc w:val="center"/>
              <w:textAlignment w:val="center"/>
              <w:rPr>
                <w:rFonts w:ascii="宋体" w:hAnsi="宋体" w:cs="宋体"/>
                <w:kern w:val="0"/>
                <w:sz w:val="20"/>
                <w:szCs w:val="20"/>
              </w:rPr>
            </w:pPr>
          </w:p>
        </w:tc>
        <w:tc>
          <w:tcPr>
            <w:tcW w:w="1598" w:type="dxa"/>
            <w:tcBorders>
              <w:top w:val="single" w:color="auto" w:sz="4" w:space="0"/>
              <w:left w:val="single" w:color="auto" w:sz="4" w:space="0"/>
              <w:bottom w:val="single" w:color="auto" w:sz="4" w:space="0"/>
              <w:right w:val="single" w:color="auto" w:sz="4" w:space="0"/>
            </w:tcBorders>
            <w:vAlign w:val="center"/>
          </w:tcPr>
          <w:p w14:paraId="5B088831">
            <w:pPr>
              <w:tabs>
                <w:tab w:val="left" w:pos="360"/>
              </w:tabs>
              <w:snapToGrid w:val="0"/>
              <w:spacing w:line="400" w:lineRule="exact"/>
              <w:jc w:val="center"/>
              <w:rPr>
                <w:kern w:val="0"/>
                <w:sz w:val="24"/>
              </w:rPr>
            </w:pPr>
          </w:p>
        </w:tc>
        <w:tc>
          <w:tcPr>
            <w:tcW w:w="1598" w:type="dxa"/>
            <w:tcBorders>
              <w:top w:val="single" w:color="auto" w:sz="4" w:space="0"/>
              <w:left w:val="single" w:color="auto" w:sz="4" w:space="0"/>
              <w:bottom w:val="single" w:color="auto" w:sz="4" w:space="0"/>
              <w:right w:val="single" w:color="auto" w:sz="4" w:space="0"/>
            </w:tcBorders>
            <w:vAlign w:val="center"/>
          </w:tcPr>
          <w:p w14:paraId="75C8F03F">
            <w:pPr>
              <w:tabs>
                <w:tab w:val="left" w:pos="360"/>
              </w:tabs>
              <w:snapToGrid w:val="0"/>
              <w:spacing w:line="400" w:lineRule="exact"/>
              <w:jc w:val="center"/>
              <w:rPr>
                <w:kern w:val="0"/>
                <w:sz w:val="24"/>
              </w:rPr>
            </w:pPr>
          </w:p>
        </w:tc>
      </w:tr>
      <w:tr w14:paraId="1369B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8095" w:type="dxa"/>
            <w:gridSpan w:val="5"/>
            <w:tcBorders>
              <w:top w:val="single" w:color="auto" w:sz="4" w:space="0"/>
              <w:left w:val="single" w:color="auto" w:sz="4" w:space="0"/>
              <w:bottom w:val="single" w:color="auto" w:sz="4" w:space="0"/>
              <w:right w:val="single" w:color="auto" w:sz="4" w:space="0"/>
            </w:tcBorders>
            <w:vAlign w:val="center"/>
          </w:tcPr>
          <w:p w14:paraId="0443818D">
            <w:pPr>
              <w:tabs>
                <w:tab w:val="left" w:pos="360"/>
              </w:tabs>
              <w:snapToGrid w:val="0"/>
              <w:spacing w:line="400" w:lineRule="exact"/>
              <w:rPr>
                <w:kern w:val="0"/>
                <w:sz w:val="24"/>
              </w:rPr>
            </w:pPr>
            <w:r>
              <w:rPr>
                <w:rFonts w:hint="eastAsia"/>
                <w:kern w:val="0"/>
                <w:sz w:val="28"/>
                <w:szCs w:val="28"/>
              </w:rPr>
              <w:t>总价（大写人民币）：</w:t>
            </w:r>
          </w:p>
        </w:tc>
      </w:tr>
    </w:tbl>
    <w:p w14:paraId="285E1155">
      <w:pPr>
        <w:jc w:val="left"/>
        <w:rPr>
          <w:sz w:val="24"/>
        </w:rPr>
      </w:pPr>
      <w:r>
        <w:rPr>
          <w:rFonts w:hint="eastAsia"/>
          <w:sz w:val="24"/>
        </w:rPr>
        <w:t>备注：以上表格请供应商根据需要自行修改。</w:t>
      </w:r>
    </w:p>
    <w:p w14:paraId="648E9B88">
      <w:pPr>
        <w:ind w:firstLine="2760" w:firstLineChars="1150"/>
        <w:rPr>
          <w:sz w:val="24"/>
        </w:rPr>
      </w:pPr>
    </w:p>
    <w:p w14:paraId="6CF6E2B8">
      <w:pPr>
        <w:ind w:firstLine="2760" w:firstLineChars="1150"/>
        <w:rPr>
          <w:sz w:val="24"/>
        </w:rPr>
      </w:pPr>
      <w:r>
        <w:rPr>
          <w:rFonts w:hint="eastAsia"/>
          <w:sz w:val="24"/>
        </w:rPr>
        <w:t>供应商（盖章）：</w:t>
      </w:r>
    </w:p>
    <w:p w14:paraId="06B125E6">
      <w:pPr>
        <w:rPr>
          <w:sz w:val="24"/>
        </w:rPr>
      </w:pPr>
    </w:p>
    <w:p w14:paraId="034DA5DE">
      <w:pPr>
        <w:ind w:firstLine="2760" w:firstLineChars="1150"/>
        <w:rPr>
          <w:sz w:val="24"/>
        </w:rPr>
      </w:pPr>
      <w:r>
        <w:rPr>
          <w:rFonts w:hint="eastAsia"/>
          <w:sz w:val="24"/>
        </w:rPr>
        <w:t>供应商代表（签字或盖章）：</w:t>
      </w:r>
    </w:p>
    <w:p w14:paraId="47ED27CA">
      <w:pPr>
        <w:rPr>
          <w:sz w:val="24"/>
        </w:rPr>
      </w:pPr>
    </w:p>
    <w:p w14:paraId="0311D42D">
      <w:pPr>
        <w:ind w:firstLine="2760" w:firstLineChars="1150"/>
        <w:rPr>
          <w:sz w:val="24"/>
        </w:rPr>
      </w:pPr>
      <w:r>
        <w:rPr>
          <w:rFonts w:hint="eastAsia"/>
          <w:sz w:val="24"/>
        </w:rPr>
        <w:t>电话：</w:t>
      </w:r>
    </w:p>
    <w:p w14:paraId="7FD041CD">
      <w:pPr>
        <w:rPr>
          <w:sz w:val="24"/>
        </w:rPr>
      </w:pPr>
    </w:p>
    <w:p w14:paraId="3F0A5E2C">
      <w:pPr>
        <w:ind w:firstLine="2760" w:firstLineChars="1150"/>
        <w:rPr>
          <w:sz w:val="18"/>
          <w:szCs w:val="18"/>
          <w:u w:val="single"/>
        </w:rPr>
      </w:pPr>
      <w:r>
        <w:rPr>
          <w:rFonts w:hint="eastAsia"/>
          <w:sz w:val="24"/>
        </w:rPr>
        <w:t>日期：年月日</w:t>
      </w:r>
    </w:p>
    <w:p w14:paraId="614B9369">
      <w:pPr>
        <w:jc w:val="center"/>
        <w:rPr>
          <w:b/>
          <w:sz w:val="30"/>
          <w:szCs w:val="30"/>
        </w:rPr>
      </w:pPr>
    </w:p>
    <w:p w14:paraId="4334F686">
      <w:pPr>
        <w:jc w:val="center"/>
        <w:rPr>
          <w:b/>
          <w:sz w:val="30"/>
          <w:szCs w:val="30"/>
        </w:rPr>
      </w:pPr>
    </w:p>
    <w:p w14:paraId="3596B39F">
      <w:pPr>
        <w:pStyle w:val="11"/>
      </w:pPr>
    </w:p>
    <w:p w14:paraId="5D1F2807">
      <w:pPr>
        <w:pStyle w:val="11"/>
      </w:pPr>
    </w:p>
    <w:p w14:paraId="1271D9B6">
      <w:pPr>
        <w:pStyle w:val="11"/>
      </w:pPr>
    </w:p>
    <w:p w14:paraId="7F3C4430">
      <w:pPr>
        <w:pStyle w:val="11"/>
      </w:pPr>
    </w:p>
    <w:p w14:paraId="49F44232">
      <w:pPr>
        <w:pStyle w:val="11"/>
      </w:pPr>
    </w:p>
    <w:p w14:paraId="1CB262B7">
      <w:pPr>
        <w:pStyle w:val="11"/>
      </w:pPr>
    </w:p>
    <w:p w14:paraId="2E243726">
      <w:pPr>
        <w:pStyle w:val="11"/>
      </w:pPr>
    </w:p>
    <w:p w14:paraId="747C383C">
      <w:pPr>
        <w:pStyle w:val="11"/>
      </w:pPr>
    </w:p>
    <w:p w14:paraId="17FEC1E4">
      <w:pPr>
        <w:pStyle w:val="11"/>
      </w:pPr>
    </w:p>
    <w:p w14:paraId="22CDCF90">
      <w:pPr>
        <w:pStyle w:val="11"/>
      </w:pPr>
    </w:p>
    <w:p w14:paraId="658EE88F">
      <w:pPr>
        <w:pStyle w:val="11"/>
      </w:pPr>
    </w:p>
    <w:p w14:paraId="765EB2F5">
      <w:pPr>
        <w:pStyle w:val="11"/>
      </w:pPr>
    </w:p>
    <w:p w14:paraId="51E0F70A">
      <w:pPr>
        <w:pStyle w:val="11"/>
      </w:pPr>
    </w:p>
    <w:p w14:paraId="6374941B">
      <w:pPr>
        <w:jc w:val="center"/>
        <w:rPr>
          <w:b/>
          <w:sz w:val="30"/>
          <w:szCs w:val="30"/>
        </w:rPr>
      </w:pPr>
      <w:r>
        <w:rPr>
          <w:rFonts w:hint="eastAsia"/>
          <w:b/>
          <w:sz w:val="30"/>
          <w:szCs w:val="30"/>
        </w:rPr>
        <w:t>二、投标委托代表人资格证明书</w:t>
      </w:r>
    </w:p>
    <w:p w14:paraId="16B55F85">
      <w:pPr>
        <w:rPr>
          <w:sz w:val="24"/>
        </w:rPr>
      </w:pPr>
    </w:p>
    <w:p w14:paraId="443BDAA7">
      <w:pPr>
        <w:rPr>
          <w:sz w:val="24"/>
          <w:u w:val="single"/>
        </w:rPr>
      </w:pPr>
      <w:r>
        <w:rPr>
          <w:rFonts w:hint="eastAsia"/>
          <w:sz w:val="24"/>
        </w:rPr>
        <w:t>单位名称：</w:t>
      </w:r>
    </w:p>
    <w:p w14:paraId="72A91A34">
      <w:pPr>
        <w:rPr>
          <w:sz w:val="24"/>
          <w:u w:val="single"/>
        </w:rPr>
      </w:pPr>
      <w:r>
        <w:rPr>
          <w:rFonts w:hint="eastAsia"/>
          <w:sz w:val="24"/>
        </w:rPr>
        <w:t>地址：</w:t>
      </w:r>
    </w:p>
    <w:p w14:paraId="4C78ABD5">
      <w:pPr>
        <w:rPr>
          <w:sz w:val="24"/>
        </w:rPr>
      </w:pPr>
      <w:r>
        <w:rPr>
          <w:rFonts w:hint="eastAsia"/>
          <w:sz w:val="24"/>
        </w:rPr>
        <w:t>姓名：性别：年龄：职务：系委托代表人。为投标项目，签署上述项目的投标文件、进行合同谈判、签署合同和处理与之有关的一切事务。</w:t>
      </w:r>
    </w:p>
    <w:p w14:paraId="7833EFF5">
      <w:pPr>
        <w:rPr>
          <w:sz w:val="24"/>
        </w:rPr>
      </w:pPr>
    </w:p>
    <w:p w14:paraId="38E4D09D">
      <w:pPr>
        <w:ind w:firstLine="1800" w:firstLineChars="750"/>
        <w:rPr>
          <w:sz w:val="24"/>
        </w:rPr>
      </w:pPr>
      <w:r>
        <w:rPr>
          <w:rFonts w:hint="eastAsia"/>
          <w:sz w:val="24"/>
        </w:rPr>
        <w:t>供应商（盖章）：</w:t>
      </w:r>
    </w:p>
    <w:p w14:paraId="22BEEC77">
      <w:pPr>
        <w:ind w:firstLine="4920" w:firstLineChars="2050"/>
        <w:rPr>
          <w:sz w:val="24"/>
        </w:rPr>
      </w:pPr>
      <w:r>
        <w:rPr>
          <w:rFonts w:hint="eastAsia"/>
          <w:sz w:val="24"/>
        </w:rPr>
        <w:t>年月日</w:t>
      </w:r>
    </w:p>
    <w:p w14:paraId="23E1F358">
      <w:pPr>
        <w:jc w:val="center"/>
        <w:rPr>
          <w:b/>
          <w:sz w:val="32"/>
          <w:szCs w:val="32"/>
        </w:rPr>
      </w:pPr>
      <w:r>
        <w:rPr>
          <w:rFonts w:hint="eastAsia"/>
          <w:sz w:val="24"/>
        </w:rPr>
        <w:br w:type="page"/>
      </w:r>
      <w:r>
        <w:rPr>
          <w:rFonts w:hint="eastAsia"/>
          <w:b/>
          <w:sz w:val="32"/>
          <w:szCs w:val="32"/>
        </w:rPr>
        <w:t>三、投标承诺书</w:t>
      </w:r>
    </w:p>
    <w:p w14:paraId="1F249C86">
      <w:pPr>
        <w:tabs>
          <w:tab w:val="left" w:pos="5355"/>
        </w:tabs>
        <w:spacing w:before="100" w:beforeAutospacing="1" w:after="100" w:afterAutospacing="1" w:line="360" w:lineRule="auto"/>
        <w:ind w:firstLine="640" w:firstLineChars="200"/>
        <w:rPr>
          <w:rFonts w:ascii="仿宋" w:hAnsi="仿宋" w:eastAsia="仿宋" w:cs="宋体"/>
          <w:bCs/>
          <w:sz w:val="32"/>
          <w:szCs w:val="32"/>
        </w:rPr>
      </w:pPr>
      <w:r>
        <w:rPr>
          <w:rFonts w:hint="eastAsia" w:ascii="仿宋" w:hAnsi="仿宋" w:eastAsia="仿宋" w:cs="宋体"/>
          <w:bCs/>
          <w:sz w:val="32"/>
          <w:szCs w:val="32"/>
        </w:rPr>
        <w:t>我司承诺对项目的院内竞争性磋商最终确定的综合评定最优结果表示认可，并承诺不会对福建省肿瘤医院在本项目招标过程中的工作模式以及终止本项目招标的可能提出疑议。</w:t>
      </w:r>
    </w:p>
    <w:p w14:paraId="39033523">
      <w:pPr>
        <w:tabs>
          <w:tab w:val="left" w:pos="5355"/>
        </w:tabs>
        <w:spacing w:before="100" w:beforeAutospacing="1" w:after="100" w:afterAutospacing="1" w:line="360" w:lineRule="auto"/>
        <w:ind w:firstLine="640" w:firstLineChars="200"/>
        <w:rPr>
          <w:rFonts w:ascii="仿宋" w:hAnsi="仿宋" w:eastAsia="仿宋" w:cs="宋体"/>
          <w:sz w:val="32"/>
          <w:szCs w:val="32"/>
        </w:rPr>
      </w:pPr>
      <w:r>
        <w:rPr>
          <w:rFonts w:hint="eastAsia" w:ascii="仿宋" w:hAnsi="仿宋" w:eastAsia="仿宋" w:cs="宋体"/>
          <w:bCs/>
          <w:sz w:val="32"/>
          <w:szCs w:val="32"/>
        </w:rPr>
        <w:t>我司承诺本次投标所有的相关承诺书、投标/响应文件等都作为本项目合同不可分割的部分，并承诺本项目合同、承诺书、投标书、方案等相关资料中发生歧义、冲突的条款、指标均以福建省肿瘤医院解释或要求为标准。我方承诺中标/成交后能够完全配合本项目施工的进度开展工作。</w:t>
      </w:r>
    </w:p>
    <w:p w14:paraId="70DC9250">
      <w:pPr>
        <w:tabs>
          <w:tab w:val="left" w:pos="5355"/>
        </w:tabs>
        <w:spacing w:before="100" w:beforeAutospacing="1" w:after="100" w:afterAutospacing="1" w:line="360" w:lineRule="auto"/>
        <w:ind w:firstLine="640" w:firstLineChars="200"/>
        <w:rPr>
          <w:rFonts w:ascii="仿宋" w:hAnsi="仿宋" w:eastAsia="仿宋" w:cs="宋体"/>
          <w:sz w:val="32"/>
          <w:szCs w:val="32"/>
        </w:rPr>
      </w:pPr>
      <w:r>
        <w:rPr>
          <w:rFonts w:hint="eastAsia" w:ascii="仿宋" w:hAnsi="仿宋" w:eastAsia="仿宋" w:cs="宋体"/>
          <w:bCs/>
          <w:sz w:val="32"/>
          <w:szCs w:val="32"/>
        </w:rPr>
        <w:t>我司承诺福建省肿瘤医院在授予我司合同时有权利增加补充相关内容。</w:t>
      </w:r>
    </w:p>
    <w:p w14:paraId="55EB1072">
      <w:pPr>
        <w:tabs>
          <w:tab w:val="left" w:pos="5355"/>
        </w:tabs>
        <w:spacing w:before="100" w:beforeAutospacing="1" w:after="100" w:afterAutospacing="1" w:line="360" w:lineRule="auto"/>
        <w:ind w:firstLine="640" w:firstLineChars="200"/>
        <w:rPr>
          <w:rFonts w:ascii="仿宋" w:hAnsi="仿宋" w:eastAsia="仿宋" w:cs="宋体"/>
          <w:sz w:val="32"/>
          <w:szCs w:val="32"/>
        </w:rPr>
      </w:pPr>
      <w:r>
        <w:rPr>
          <w:rFonts w:hint="eastAsia" w:ascii="仿宋" w:hAnsi="仿宋" w:eastAsia="仿宋" w:cs="宋体"/>
          <w:bCs/>
          <w:sz w:val="32"/>
          <w:szCs w:val="32"/>
        </w:rPr>
        <w:t>备注：工作模式包括二次谈判等工作模式。</w:t>
      </w:r>
    </w:p>
    <w:p w14:paraId="6F97FEE9">
      <w:pPr>
        <w:tabs>
          <w:tab w:val="left" w:pos="5355"/>
        </w:tabs>
        <w:spacing w:before="100" w:beforeAutospacing="1" w:after="100" w:afterAutospacing="1" w:line="360" w:lineRule="auto"/>
        <w:rPr>
          <w:rFonts w:ascii="仿宋" w:hAnsi="仿宋" w:eastAsia="仿宋" w:cs="宋体"/>
          <w:sz w:val="32"/>
          <w:szCs w:val="32"/>
        </w:rPr>
      </w:pPr>
      <w:r>
        <w:rPr>
          <w:rFonts w:hint="eastAsia" w:ascii="仿宋" w:hAnsi="仿宋" w:eastAsia="仿宋" w:cs="宋体"/>
          <w:sz w:val="32"/>
          <w:szCs w:val="32"/>
        </w:rPr>
        <w:t>供应商名称（全称并加公章）：</w:t>
      </w:r>
    </w:p>
    <w:p w14:paraId="1453EFA3">
      <w:pPr>
        <w:tabs>
          <w:tab w:val="left" w:pos="5355"/>
        </w:tabs>
        <w:spacing w:before="100" w:beforeAutospacing="1" w:after="100" w:afterAutospacing="1" w:line="360" w:lineRule="auto"/>
        <w:rPr>
          <w:rFonts w:ascii="仿宋" w:hAnsi="仿宋" w:eastAsia="仿宋" w:cs="宋体"/>
          <w:sz w:val="32"/>
          <w:szCs w:val="32"/>
        </w:rPr>
      </w:pPr>
      <w:r>
        <w:rPr>
          <w:rFonts w:hint="eastAsia" w:ascii="仿宋" w:hAnsi="仿宋" w:eastAsia="仿宋" w:cs="宋体"/>
          <w:sz w:val="32"/>
          <w:szCs w:val="32"/>
        </w:rPr>
        <w:t>供应商代表签字：</w:t>
      </w:r>
    </w:p>
    <w:p w14:paraId="3861557B">
      <w:pPr>
        <w:tabs>
          <w:tab w:val="left" w:pos="5355"/>
        </w:tabs>
        <w:spacing w:before="100" w:beforeAutospacing="1" w:after="100" w:afterAutospacing="1" w:line="360" w:lineRule="auto"/>
        <w:rPr>
          <w:rFonts w:ascii="仿宋" w:hAnsi="仿宋" w:eastAsia="仿宋"/>
          <w:b/>
          <w:sz w:val="32"/>
          <w:szCs w:val="32"/>
        </w:rPr>
      </w:pPr>
      <w:r>
        <w:rPr>
          <w:rFonts w:hint="eastAsia" w:ascii="仿宋" w:hAnsi="仿宋" w:eastAsia="仿宋" w:cs="宋体"/>
          <w:sz w:val="32"/>
          <w:szCs w:val="32"/>
        </w:rPr>
        <w:t>日期：     年    月   日</w:t>
      </w:r>
    </w:p>
    <w:p w14:paraId="30C327DE">
      <w:pPr>
        <w:jc w:val="center"/>
        <w:rPr>
          <w:b/>
          <w:sz w:val="30"/>
          <w:szCs w:val="30"/>
        </w:rPr>
      </w:pPr>
      <w:r>
        <w:rPr>
          <w:rFonts w:hint="eastAsia"/>
        </w:rPr>
        <w:br w:type="page"/>
      </w:r>
      <w:r>
        <w:rPr>
          <w:rFonts w:hint="eastAsia"/>
          <w:b/>
          <w:sz w:val="30"/>
          <w:szCs w:val="30"/>
        </w:rPr>
        <w:t>四、其他需要提供的材料</w:t>
      </w:r>
    </w:p>
    <w:p w14:paraId="20BF6F3D">
      <w:pPr>
        <w:jc w:val="center"/>
        <w:rPr>
          <w:sz w:val="24"/>
        </w:rPr>
      </w:pPr>
    </w:p>
    <w:p w14:paraId="0E7436E1">
      <w:pPr>
        <w:jc w:val="center"/>
        <w:rPr>
          <w:sz w:val="24"/>
        </w:rPr>
      </w:pPr>
      <w:r>
        <w:rPr>
          <w:rFonts w:hint="eastAsia"/>
          <w:sz w:val="24"/>
        </w:rPr>
        <w:t>（附供应商需要提供的其他材料）</w:t>
      </w:r>
    </w:p>
    <w:p w14:paraId="0F418837"/>
    <w:p w14:paraId="31B7ECA3">
      <w:pPr>
        <w:spacing w:line="220" w:lineRule="atLeast"/>
      </w:pPr>
    </w:p>
    <w:p w14:paraId="26B8E05A">
      <w:pPr>
        <w:tabs>
          <w:tab w:val="left" w:pos="630"/>
        </w:tabs>
        <w:spacing w:before="120"/>
        <w:jc w:val="center"/>
        <w:rPr>
          <w:rFonts w:ascii="仿宋" w:hAnsi="仿宋" w:eastAsia="仿宋"/>
          <w:sz w:val="30"/>
          <w:szCs w:val="30"/>
        </w:rPr>
      </w:pPr>
    </w:p>
    <w:p w14:paraId="2579A570"/>
    <w:p w14:paraId="37727D1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方正仿宋简体">
    <w:altName w:val="微软雅黑"/>
    <w:panose1 w:val="00000000000000000000"/>
    <w:charset w:val="86"/>
    <w:family w:val="roma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842C55"/>
    <w:multiLevelType w:val="singleLevel"/>
    <w:tmpl w:val="9F842C55"/>
    <w:lvl w:ilvl="0" w:tentative="0">
      <w:start w:val="1"/>
      <w:numFmt w:val="decimal"/>
      <w:lvlText w:val="(%1)"/>
      <w:lvlJc w:val="left"/>
      <w:pPr>
        <w:ind w:left="425" w:hanging="425"/>
      </w:pPr>
      <w:rPr>
        <w:rFonts w:hint="default"/>
      </w:rPr>
    </w:lvl>
  </w:abstractNum>
  <w:abstractNum w:abstractNumId="1">
    <w:nsid w:val="A0A50D0D"/>
    <w:multiLevelType w:val="singleLevel"/>
    <w:tmpl w:val="A0A50D0D"/>
    <w:lvl w:ilvl="0" w:tentative="0">
      <w:start w:val="1"/>
      <w:numFmt w:val="decimal"/>
      <w:lvlText w:val="(%1)"/>
      <w:lvlJc w:val="left"/>
      <w:pPr>
        <w:ind w:left="425" w:hanging="425"/>
      </w:pPr>
      <w:rPr>
        <w:rFonts w:hint="default"/>
      </w:rPr>
    </w:lvl>
  </w:abstractNum>
  <w:abstractNum w:abstractNumId="2">
    <w:nsid w:val="C074C1E2"/>
    <w:multiLevelType w:val="singleLevel"/>
    <w:tmpl w:val="C074C1E2"/>
    <w:lvl w:ilvl="0" w:tentative="0">
      <w:start w:val="1"/>
      <w:numFmt w:val="decimal"/>
      <w:lvlText w:val="%1."/>
      <w:lvlJc w:val="left"/>
      <w:pPr>
        <w:ind w:left="865" w:hanging="425"/>
      </w:pPr>
      <w:rPr>
        <w:rFonts w:hint="default" w:ascii="宋体" w:hAnsi="宋体" w:eastAsia="宋体" w:cstheme="majorEastAsia"/>
        <w:sz w:val="26"/>
        <w:szCs w:val="26"/>
      </w:rPr>
    </w:lvl>
  </w:abstractNum>
  <w:abstractNum w:abstractNumId="3">
    <w:nsid w:val="F49130CD"/>
    <w:multiLevelType w:val="singleLevel"/>
    <w:tmpl w:val="F49130CD"/>
    <w:lvl w:ilvl="0" w:tentative="0">
      <w:start w:val="1"/>
      <w:numFmt w:val="decimal"/>
      <w:lvlText w:val="%1."/>
      <w:lvlJc w:val="left"/>
      <w:pPr>
        <w:tabs>
          <w:tab w:val="left" w:pos="312"/>
        </w:tabs>
      </w:pPr>
    </w:lvl>
  </w:abstractNum>
  <w:abstractNum w:abstractNumId="4">
    <w:nsid w:val="F5F1E733"/>
    <w:multiLevelType w:val="singleLevel"/>
    <w:tmpl w:val="F5F1E733"/>
    <w:lvl w:ilvl="0" w:tentative="0">
      <w:start w:val="1"/>
      <w:numFmt w:val="decimal"/>
      <w:suff w:val="space"/>
      <w:lvlText w:val="%1."/>
      <w:lvlJc w:val="left"/>
      <w:pPr>
        <w:ind w:left="-80"/>
      </w:pPr>
    </w:lvl>
  </w:abstractNum>
  <w:abstractNum w:abstractNumId="5">
    <w:nsid w:val="261E76F5"/>
    <w:multiLevelType w:val="singleLevel"/>
    <w:tmpl w:val="261E76F5"/>
    <w:lvl w:ilvl="0" w:tentative="0">
      <w:start w:val="1"/>
      <w:numFmt w:val="decimal"/>
      <w:lvlText w:val="%1."/>
      <w:lvlJc w:val="left"/>
      <w:pPr>
        <w:ind w:left="425" w:hanging="425"/>
      </w:pPr>
      <w:rPr>
        <w:rFonts w:hint="default"/>
      </w:rPr>
    </w:lvl>
  </w:abstractNum>
  <w:abstractNum w:abstractNumId="6">
    <w:nsid w:val="372123A1"/>
    <w:multiLevelType w:val="multilevel"/>
    <w:tmpl w:val="372123A1"/>
    <w:lvl w:ilvl="0" w:tentative="0">
      <w:start w:val="1"/>
      <w:numFmt w:val="decimal"/>
      <w:lvlText w:val="%1."/>
      <w:lvlJc w:val="left"/>
      <w:pPr>
        <w:ind w:left="830" w:hanging="440"/>
      </w:pPr>
    </w:lvl>
    <w:lvl w:ilvl="1" w:tentative="0">
      <w:start w:val="1"/>
      <w:numFmt w:val="lowerLetter"/>
      <w:lvlText w:val="%2)"/>
      <w:lvlJc w:val="left"/>
      <w:pPr>
        <w:ind w:left="1270" w:hanging="440"/>
      </w:pPr>
    </w:lvl>
    <w:lvl w:ilvl="2" w:tentative="0">
      <w:start w:val="1"/>
      <w:numFmt w:val="lowerRoman"/>
      <w:lvlText w:val="%3."/>
      <w:lvlJc w:val="right"/>
      <w:pPr>
        <w:ind w:left="1710" w:hanging="440"/>
      </w:pPr>
    </w:lvl>
    <w:lvl w:ilvl="3" w:tentative="0">
      <w:start w:val="1"/>
      <w:numFmt w:val="decimal"/>
      <w:lvlText w:val="%4."/>
      <w:lvlJc w:val="left"/>
      <w:pPr>
        <w:ind w:left="2150" w:hanging="440"/>
      </w:pPr>
    </w:lvl>
    <w:lvl w:ilvl="4" w:tentative="0">
      <w:start w:val="1"/>
      <w:numFmt w:val="lowerLetter"/>
      <w:lvlText w:val="%5)"/>
      <w:lvlJc w:val="left"/>
      <w:pPr>
        <w:ind w:left="2590" w:hanging="440"/>
      </w:pPr>
    </w:lvl>
    <w:lvl w:ilvl="5" w:tentative="0">
      <w:start w:val="1"/>
      <w:numFmt w:val="lowerRoman"/>
      <w:lvlText w:val="%6."/>
      <w:lvlJc w:val="right"/>
      <w:pPr>
        <w:ind w:left="3030" w:hanging="440"/>
      </w:pPr>
    </w:lvl>
    <w:lvl w:ilvl="6" w:tentative="0">
      <w:start w:val="1"/>
      <w:numFmt w:val="decimal"/>
      <w:lvlText w:val="%7."/>
      <w:lvlJc w:val="left"/>
      <w:pPr>
        <w:ind w:left="3470" w:hanging="440"/>
      </w:pPr>
    </w:lvl>
    <w:lvl w:ilvl="7" w:tentative="0">
      <w:start w:val="1"/>
      <w:numFmt w:val="lowerLetter"/>
      <w:lvlText w:val="%8)"/>
      <w:lvlJc w:val="left"/>
      <w:pPr>
        <w:ind w:left="3910" w:hanging="440"/>
      </w:pPr>
    </w:lvl>
    <w:lvl w:ilvl="8" w:tentative="0">
      <w:start w:val="1"/>
      <w:numFmt w:val="lowerRoman"/>
      <w:lvlText w:val="%9."/>
      <w:lvlJc w:val="right"/>
      <w:pPr>
        <w:ind w:left="4350" w:hanging="440"/>
      </w:pPr>
    </w:lvl>
  </w:abstractNum>
  <w:abstractNum w:abstractNumId="7">
    <w:nsid w:val="4C96EDAF"/>
    <w:multiLevelType w:val="singleLevel"/>
    <w:tmpl w:val="4C96EDAF"/>
    <w:lvl w:ilvl="0" w:tentative="0">
      <w:start w:val="1"/>
      <w:numFmt w:val="decimal"/>
      <w:lvlText w:val="(%1)"/>
      <w:lvlJc w:val="left"/>
      <w:pPr>
        <w:ind w:left="425" w:hanging="425"/>
      </w:pPr>
      <w:rPr>
        <w:rFonts w:hint="default"/>
      </w:rPr>
    </w:lvl>
  </w:abstractNum>
  <w:abstractNum w:abstractNumId="8">
    <w:nsid w:val="50AE6D90"/>
    <w:multiLevelType w:val="multilevel"/>
    <w:tmpl w:val="50AE6D90"/>
    <w:lvl w:ilvl="0" w:tentative="0">
      <w:start w:val="1"/>
      <w:numFmt w:val="decimal"/>
      <w:lvlText w:val="%1."/>
      <w:lvlJc w:val="left"/>
      <w:pPr>
        <w:ind w:left="830" w:hanging="440"/>
      </w:pPr>
      <w:rPr>
        <w:b w:val="0"/>
        <w:bCs w:val="0"/>
      </w:rPr>
    </w:lvl>
    <w:lvl w:ilvl="1" w:tentative="0">
      <w:start w:val="1"/>
      <w:numFmt w:val="lowerLetter"/>
      <w:lvlText w:val="%2)"/>
      <w:lvlJc w:val="left"/>
      <w:pPr>
        <w:ind w:left="1270" w:hanging="440"/>
      </w:pPr>
    </w:lvl>
    <w:lvl w:ilvl="2" w:tentative="0">
      <w:start w:val="1"/>
      <w:numFmt w:val="lowerRoman"/>
      <w:lvlText w:val="%3."/>
      <w:lvlJc w:val="right"/>
      <w:pPr>
        <w:ind w:left="1710" w:hanging="440"/>
      </w:pPr>
    </w:lvl>
    <w:lvl w:ilvl="3" w:tentative="0">
      <w:start w:val="1"/>
      <w:numFmt w:val="decimal"/>
      <w:lvlText w:val="%4."/>
      <w:lvlJc w:val="left"/>
      <w:pPr>
        <w:ind w:left="2150" w:hanging="440"/>
      </w:pPr>
    </w:lvl>
    <w:lvl w:ilvl="4" w:tentative="0">
      <w:start w:val="1"/>
      <w:numFmt w:val="lowerLetter"/>
      <w:lvlText w:val="%5)"/>
      <w:lvlJc w:val="left"/>
      <w:pPr>
        <w:ind w:left="2590" w:hanging="440"/>
      </w:pPr>
    </w:lvl>
    <w:lvl w:ilvl="5" w:tentative="0">
      <w:start w:val="1"/>
      <w:numFmt w:val="lowerRoman"/>
      <w:lvlText w:val="%6."/>
      <w:lvlJc w:val="right"/>
      <w:pPr>
        <w:ind w:left="3030" w:hanging="440"/>
      </w:pPr>
    </w:lvl>
    <w:lvl w:ilvl="6" w:tentative="0">
      <w:start w:val="1"/>
      <w:numFmt w:val="decimal"/>
      <w:lvlText w:val="%7."/>
      <w:lvlJc w:val="left"/>
      <w:pPr>
        <w:ind w:left="3470" w:hanging="440"/>
      </w:pPr>
    </w:lvl>
    <w:lvl w:ilvl="7" w:tentative="0">
      <w:start w:val="1"/>
      <w:numFmt w:val="lowerLetter"/>
      <w:lvlText w:val="%8)"/>
      <w:lvlJc w:val="left"/>
      <w:pPr>
        <w:ind w:left="3910" w:hanging="440"/>
      </w:pPr>
    </w:lvl>
    <w:lvl w:ilvl="8" w:tentative="0">
      <w:start w:val="1"/>
      <w:numFmt w:val="lowerRoman"/>
      <w:lvlText w:val="%9."/>
      <w:lvlJc w:val="right"/>
      <w:pPr>
        <w:ind w:left="4350" w:hanging="440"/>
      </w:pPr>
    </w:lvl>
  </w:abstractNum>
  <w:abstractNum w:abstractNumId="9">
    <w:nsid w:val="52313DFE"/>
    <w:multiLevelType w:val="singleLevel"/>
    <w:tmpl w:val="52313DFE"/>
    <w:lvl w:ilvl="0" w:tentative="0">
      <w:start w:val="1"/>
      <w:numFmt w:val="decimal"/>
      <w:lvlText w:val="%1."/>
      <w:lvlJc w:val="left"/>
      <w:pPr>
        <w:ind w:left="425" w:hanging="425"/>
      </w:pPr>
      <w:rPr>
        <w:rFonts w:hint="default"/>
      </w:rPr>
    </w:lvl>
  </w:abstractNum>
  <w:abstractNum w:abstractNumId="10">
    <w:nsid w:val="7196F9DA"/>
    <w:multiLevelType w:val="multilevel"/>
    <w:tmpl w:val="7196F9DA"/>
    <w:lvl w:ilvl="0" w:tentative="0">
      <w:start w:val="1"/>
      <w:numFmt w:val="decimal"/>
      <w:lvlText w:val="%1."/>
      <w:lvlJc w:val="left"/>
      <w:pPr>
        <w:ind w:left="880" w:hanging="440"/>
      </w:pPr>
      <w:rPr>
        <w:rFonts w:hint="default" w:asciiTheme="majorEastAsia" w:hAnsiTheme="majorEastAsia" w:eastAsiaTheme="majorEastAsia" w:cstheme="majorEastAsia"/>
        <w:b w:val="0"/>
        <w:bCs w:val="0"/>
        <w:sz w:val="26"/>
        <w:szCs w:val="26"/>
      </w:rPr>
    </w:lvl>
    <w:lvl w:ilvl="1" w:tentative="0">
      <w:start w:val="1"/>
      <w:numFmt w:val="lowerLetter"/>
      <w:lvlText w:val="%2)"/>
      <w:lvlJc w:val="left"/>
      <w:pPr>
        <w:ind w:left="1320" w:hanging="440"/>
      </w:pPr>
    </w:lvl>
    <w:lvl w:ilvl="2" w:tentative="0">
      <w:start w:val="1"/>
      <w:numFmt w:val="lowerRoman"/>
      <w:lvlText w:val="%3."/>
      <w:lvlJc w:val="right"/>
      <w:pPr>
        <w:ind w:left="1760" w:hanging="440"/>
      </w:pPr>
    </w:lvl>
    <w:lvl w:ilvl="3" w:tentative="0">
      <w:start w:val="1"/>
      <w:numFmt w:val="decimal"/>
      <w:lvlText w:val="%4."/>
      <w:lvlJc w:val="left"/>
      <w:pPr>
        <w:ind w:left="2200" w:hanging="440"/>
      </w:pPr>
    </w:lvl>
    <w:lvl w:ilvl="4" w:tentative="0">
      <w:start w:val="1"/>
      <w:numFmt w:val="lowerLetter"/>
      <w:lvlText w:val="%5)"/>
      <w:lvlJc w:val="left"/>
      <w:pPr>
        <w:ind w:left="2640" w:hanging="440"/>
      </w:pPr>
    </w:lvl>
    <w:lvl w:ilvl="5" w:tentative="0">
      <w:start w:val="1"/>
      <w:numFmt w:val="lowerRoman"/>
      <w:lvlText w:val="%6."/>
      <w:lvlJc w:val="right"/>
      <w:pPr>
        <w:ind w:left="3080" w:hanging="440"/>
      </w:pPr>
    </w:lvl>
    <w:lvl w:ilvl="6" w:tentative="0">
      <w:start w:val="1"/>
      <w:numFmt w:val="decimal"/>
      <w:lvlText w:val="%7."/>
      <w:lvlJc w:val="left"/>
      <w:pPr>
        <w:ind w:left="3520" w:hanging="440"/>
      </w:pPr>
    </w:lvl>
    <w:lvl w:ilvl="7" w:tentative="0">
      <w:start w:val="1"/>
      <w:numFmt w:val="lowerLetter"/>
      <w:lvlText w:val="%8)"/>
      <w:lvlJc w:val="left"/>
      <w:pPr>
        <w:ind w:left="3960" w:hanging="440"/>
      </w:pPr>
    </w:lvl>
    <w:lvl w:ilvl="8" w:tentative="0">
      <w:start w:val="1"/>
      <w:numFmt w:val="lowerRoman"/>
      <w:lvlText w:val="%9."/>
      <w:lvlJc w:val="right"/>
      <w:pPr>
        <w:ind w:left="4400" w:hanging="440"/>
      </w:pPr>
    </w:lvl>
  </w:abstractNum>
  <w:abstractNum w:abstractNumId="11">
    <w:nsid w:val="74AF2DF7"/>
    <w:multiLevelType w:val="multilevel"/>
    <w:tmpl w:val="74AF2DF7"/>
    <w:lvl w:ilvl="0" w:tentative="0">
      <w:start w:val="1"/>
      <w:numFmt w:val="decimal"/>
      <w:lvlText w:val="%1."/>
      <w:lvlJc w:val="left"/>
      <w:pPr>
        <w:ind w:left="830" w:hanging="440"/>
      </w:pPr>
    </w:lvl>
    <w:lvl w:ilvl="1" w:tentative="0">
      <w:start w:val="1"/>
      <w:numFmt w:val="lowerLetter"/>
      <w:lvlText w:val="%2)"/>
      <w:lvlJc w:val="left"/>
      <w:pPr>
        <w:ind w:left="1270" w:hanging="440"/>
      </w:pPr>
    </w:lvl>
    <w:lvl w:ilvl="2" w:tentative="0">
      <w:start w:val="1"/>
      <w:numFmt w:val="lowerRoman"/>
      <w:lvlText w:val="%3."/>
      <w:lvlJc w:val="right"/>
      <w:pPr>
        <w:ind w:left="1710" w:hanging="440"/>
      </w:pPr>
    </w:lvl>
    <w:lvl w:ilvl="3" w:tentative="0">
      <w:start w:val="1"/>
      <w:numFmt w:val="decimal"/>
      <w:lvlText w:val="%4."/>
      <w:lvlJc w:val="left"/>
      <w:pPr>
        <w:ind w:left="2150" w:hanging="440"/>
      </w:pPr>
    </w:lvl>
    <w:lvl w:ilvl="4" w:tentative="0">
      <w:start w:val="1"/>
      <w:numFmt w:val="lowerLetter"/>
      <w:lvlText w:val="%5)"/>
      <w:lvlJc w:val="left"/>
      <w:pPr>
        <w:ind w:left="2590" w:hanging="440"/>
      </w:pPr>
    </w:lvl>
    <w:lvl w:ilvl="5" w:tentative="0">
      <w:start w:val="1"/>
      <w:numFmt w:val="lowerRoman"/>
      <w:lvlText w:val="%6."/>
      <w:lvlJc w:val="right"/>
      <w:pPr>
        <w:ind w:left="3030" w:hanging="440"/>
      </w:pPr>
    </w:lvl>
    <w:lvl w:ilvl="6" w:tentative="0">
      <w:start w:val="1"/>
      <w:numFmt w:val="decimal"/>
      <w:lvlText w:val="%7."/>
      <w:lvlJc w:val="left"/>
      <w:pPr>
        <w:ind w:left="3470" w:hanging="440"/>
      </w:pPr>
    </w:lvl>
    <w:lvl w:ilvl="7" w:tentative="0">
      <w:start w:val="1"/>
      <w:numFmt w:val="lowerLetter"/>
      <w:lvlText w:val="%8)"/>
      <w:lvlJc w:val="left"/>
      <w:pPr>
        <w:ind w:left="3910" w:hanging="440"/>
      </w:pPr>
    </w:lvl>
    <w:lvl w:ilvl="8" w:tentative="0">
      <w:start w:val="1"/>
      <w:numFmt w:val="lowerRoman"/>
      <w:lvlText w:val="%9."/>
      <w:lvlJc w:val="right"/>
      <w:pPr>
        <w:ind w:left="4350" w:hanging="440"/>
      </w:pPr>
    </w:lvl>
  </w:abstractNum>
  <w:abstractNum w:abstractNumId="12">
    <w:nsid w:val="75EE7788"/>
    <w:multiLevelType w:val="multilevel"/>
    <w:tmpl w:val="75EE7788"/>
    <w:lvl w:ilvl="0" w:tentative="0">
      <w:start w:val="1"/>
      <w:numFmt w:val="decimal"/>
      <w:lvlText w:val="%1."/>
      <w:lvlJc w:val="left"/>
      <w:pPr>
        <w:ind w:left="830" w:hanging="440"/>
      </w:pPr>
      <w:rPr>
        <w:rFonts w:hint="default" w:ascii="宋体" w:hAnsi="宋体" w:eastAsia="宋体" w:cstheme="majorEastAsia"/>
        <w:b w:val="0"/>
        <w:bCs w:val="0"/>
        <w:sz w:val="26"/>
        <w:szCs w:val="26"/>
      </w:rPr>
    </w:lvl>
    <w:lvl w:ilvl="1" w:tentative="0">
      <w:start w:val="1"/>
      <w:numFmt w:val="lowerLetter"/>
      <w:lvlText w:val="%2)"/>
      <w:lvlJc w:val="left"/>
      <w:pPr>
        <w:ind w:left="1270" w:hanging="440"/>
      </w:pPr>
    </w:lvl>
    <w:lvl w:ilvl="2" w:tentative="0">
      <w:start w:val="1"/>
      <w:numFmt w:val="lowerRoman"/>
      <w:lvlText w:val="%3."/>
      <w:lvlJc w:val="right"/>
      <w:pPr>
        <w:ind w:left="1710" w:hanging="440"/>
      </w:pPr>
    </w:lvl>
    <w:lvl w:ilvl="3" w:tentative="0">
      <w:start w:val="1"/>
      <w:numFmt w:val="decimal"/>
      <w:lvlText w:val="%4."/>
      <w:lvlJc w:val="left"/>
      <w:pPr>
        <w:ind w:left="2150" w:hanging="440"/>
      </w:pPr>
    </w:lvl>
    <w:lvl w:ilvl="4" w:tentative="0">
      <w:start w:val="1"/>
      <w:numFmt w:val="lowerLetter"/>
      <w:lvlText w:val="%5)"/>
      <w:lvlJc w:val="left"/>
      <w:pPr>
        <w:ind w:left="2590" w:hanging="440"/>
      </w:pPr>
    </w:lvl>
    <w:lvl w:ilvl="5" w:tentative="0">
      <w:start w:val="1"/>
      <w:numFmt w:val="lowerRoman"/>
      <w:lvlText w:val="%6."/>
      <w:lvlJc w:val="right"/>
      <w:pPr>
        <w:ind w:left="3030" w:hanging="440"/>
      </w:pPr>
    </w:lvl>
    <w:lvl w:ilvl="6" w:tentative="0">
      <w:start w:val="1"/>
      <w:numFmt w:val="decimal"/>
      <w:lvlText w:val="%7."/>
      <w:lvlJc w:val="left"/>
      <w:pPr>
        <w:ind w:left="3470" w:hanging="440"/>
      </w:pPr>
    </w:lvl>
    <w:lvl w:ilvl="7" w:tentative="0">
      <w:start w:val="1"/>
      <w:numFmt w:val="lowerLetter"/>
      <w:lvlText w:val="%8)"/>
      <w:lvlJc w:val="left"/>
      <w:pPr>
        <w:ind w:left="3910" w:hanging="440"/>
      </w:pPr>
    </w:lvl>
    <w:lvl w:ilvl="8" w:tentative="0">
      <w:start w:val="1"/>
      <w:numFmt w:val="lowerRoman"/>
      <w:lvlText w:val="%9."/>
      <w:lvlJc w:val="right"/>
      <w:pPr>
        <w:ind w:left="4350" w:hanging="440"/>
      </w:pPr>
    </w:lvl>
  </w:abstractNum>
  <w:abstractNum w:abstractNumId="13">
    <w:nsid w:val="779E48CE"/>
    <w:multiLevelType w:val="multilevel"/>
    <w:tmpl w:val="779E48CE"/>
    <w:lvl w:ilvl="0" w:tentative="0">
      <w:start w:val="1"/>
      <w:numFmt w:val="decimal"/>
      <w:lvlText w:val="%1."/>
      <w:lvlJc w:val="left"/>
      <w:pPr>
        <w:ind w:left="830" w:hanging="440"/>
      </w:pPr>
      <w:rPr>
        <w:b w:val="0"/>
        <w:bCs w:val="0"/>
      </w:rPr>
    </w:lvl>
    <w:lvl w:ilvl="1" w:tentative="0">
      <w:start w:val="1"/>
      <w:numFmt w:val="lowerLetter"/>
      <w:lvlText w:val="%2)"/>
      <w:lvlJc w:val="left"/>
      <w:pPr>
        <w:ind w:left="1270" w:hanging="440"/>
      </w:pPr>
    </w:lvl>
    <w:lvl w:ilvl="2" w:tentative="0">
      <w:start w:val="1"/>
      <w:numFmt w:val="lowerRoman"/>
      <w:lvlText w:val="%3."/>
      <w:lvlJc w:val="right"/>
      <w:pPr>
        <w:ind w:left="1710" w:hanging="440"/>
      </w:pPr>
    </w:lvl>
    <w:lvl w:ilvl="3" w:tentative="0">
      <w:start w:val="1"/>
      <w:numFmt w:val="decimal"/>
      <w:lvlText w:val="%4."/>
      <w:lvlJc w:val="left"/>
      <w:pPr>
        <w:ind w:left="2150" w:hanging="440"/>
      </w:pPr>
    </w:lvl>
    <w:lvl w:ilvl="4" w:tentative="0">
      <w:start w:val="1"/>
      <w:numFmt w:val="lowerLetter"/>
      <w:lvlText w:val="%5)"/>
      <w:lvlJc w:val="left"/>
      <w:pPr>
        <w:ind w:left="2590" w:hanging="440"/>
      </w:pPr>
    </w:lvl>
    <w:lvl w:ilvl="5" w:tentative="0">
      <w:start w:val="1"/>
      <w:numFmt w:val="lowerRoman"/>
      <w:lvlText w:val="%6."/>
      <w:lvlJc w:val="right"/>
      <w:pPr>
        <w:ind w:left="3030" w:hanging="440"/>
      </w:pPr>
    </w:lvl>
    <w:lvl w:ilvl="6" w:tentative="0">
      <w:start w:val="1"/>
      <w:numFmt w:val="decimal"/>
      <w:lvlText w:val="%7."/>
      <w:lvlJc w:val="left"/>
      <w:pPr>
        <w:ind w:left="3470" w:hanging="440"/>
      </w:pPr>
    </w:lvl>
    <w:lvl w:ilvl="7" w:tentative="0">
      <w:start w:val="1"/>
      <w:numFmt w:val="lowerLetter"/>
      <w:lvlText w:val="%8)"/>
      <w:lvlJc w:val="left"/>
      <w:pPr>
        <w:ind w:left="3910" w:hanging="440"/>
      </w:pPr>
    </w:lvl>
    <w:lvl w:ilvl="8" w:tentative="0">
      <w:start w:val="1"/>
      <w:numFmt w:val="lowerRoman"/>
      <w:lvlText w:val="%9."/>
      <w:lvlJc w:val="right"/>
      <w:pPr>
        <w:ind w:left="4350" w:hanging="440"/>
      </w:pPr>
    </w:lvl>
  </w:abstractNum>
  <w:num w:numId="1">
    <w:abstractNumId w:val="12"/>
  </w:num>
  <w:num w:numId="2">
    <w:abstractNumId w:val="6"/>
  </w:num>
  <w:num w:numId="3">
    <w:abstractNumId w:val="10"/>
  </w:num>
  <w:num w:numId="4">
    <w:abstractNumId w:val="11"/>
  </w:num>
  <w:num w:numId="5">
    <w:abstractNumId w:val="2"/>
  </w:num>
  <w:num w:numId="6">
    <w:abstractNumId w:val="4"/>
  </w:num>
  <w:num w:numId="7">
    <w:abstractNumId w:val="13"/>
  </w:num>
  <w:num w:numId="8">
    <w:abstractNumId w:val="8"/>
  </w:num>
  <w:num w:numId="9">
    <w:abstractNumId w:val="9"/>
  </w:num>
  <w:num w:numId="10">
    <w:abstractNumId w:val="5"/>
  </w:num>
  <w:num w:numId="11">
    <w:abstractNumId w:val="1"/>
  </w:num>
  <w:num w:numId="12">
    <w:abstractNumId w:val="0"/>
  </w:num>
  <w:num w:numId="13">
    <w:abstractNumId w:val="7"/>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1"/>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236C"/>
    <w:rsid w:val="00013AC5"/>
    <w:rsid w:val="0005075D"/>
    <w:rsid w:val="000B3136"/>
    <w:rsid w:val="000F236C"/>
    <w:rsid w:val="001741CC"/>
    <w:rsid w:val="001F0ED0"/>
    <w:rsid w:val="00211344"/>
    <w:rsid w:val="00235AB6"/>
    <w:rsid w:val="0041733C"/>
    <w:rsid w:val="00420332"/>
    <w:rsid w:val="00452415"/>
    <w:rsid w:val="00467D2E"/>
    <w:rsid w:val="00516A65"/>
    <w:rsid w:val="005C4D2E"/>
    <w:rsid w:val="005F4BE2"/>
    <w:rsid w:val="005F4C8B"/>
    <w:rsid w:val="00686ECF"/>
    <w:rsid w:val="006C5C15"/>
    <w:rsid w:val="00795528"/>
    <w:rsid w:val="008322BB"/>
    <w:rsid w:val="008476FF"/>
    <w:rsid w:val="008800F5"/>
    <w:rsid w:val="00881871"/>
    <w:rsid w:val="008C7901"/>
    <w:rsid w:val="00930431"/>
    <w:rsid w:val="00A149B8"/>
    <w:rsid w:val="00B33A94"/>
    <w:rsid w:val="00B51413"/>
    <w:rsid w:val="00B52697"/>
    <w:rsid w:val="00B64D9A"/>
    <w:rsid w:val="00B963EA"/>
    <w:rsid w:val="00BA0272"/>
    <w:rsid w:val="00C34F36"/>
    <w:rsid w:val="00D25190"/>
    <w:rsid w:val="00D57F14"/>
    <w:rsid w:val="00D8649A"/>
    <w:rsid w:val="00E31065"/>
    <w:rsid w:val="00E72ADC"/>
    <w:rsid w:val="00E73CE9"/>
    <w:rsid w:val="00F85631"/>
    <w:rsid w:val="00F96CE5"/>
    <w:rsid w:val="00FC5C95"/>
    <w:rsid w:val="00FF11FE"/>
    <w:rsid w:val="01A4092C"/>
    <w:rsid w:val="03345AEF"/>
    <w:rsid w:val="049A4077"/>
    <w:rsid w:val="09D851BE"/>
    <w:rsid w:val="09E85885"/>
    <w:rsid w:val="0B7907FA"/>
    <w:rsid w:val="0EC3697F"/>
    <w:rsid w:val="0F367E03"/>
    <w:rsid w:val="10AD6EE0"/>
    <w:rsid w:val="174560C4"/>
    <w:rsid w:val="190873AA"/>
    <w:rsid w:val="224A55BF"/>
    <w:rsid w:val="23B87C1E"/>
    <w:rsid w:val="24BA7F43"/>
    <w:rsid w:val="25537BFE"/>
    <w:rsid w:val="26B81298"/>
    <w:rsid w:val="26D92385"/>
    <w:rsid w:val="28627120"/>
    <w:rsid w:val="290007D2"/>
    <w:rsid w:val="2CC55886"/>
    <w:rsid w:val="2D0068BE"/>
    <w:rsid w:val="2D197BD7"/>
    <w:rsid w:val="2D4211F2"/>
    <w:rsid w:val="2DEE4968"/>
    <w:rsid w:val="310821E5"/>
    <w:rsid w:val="31684A32"/>
    <w:rsid w:val="35693249"/>
    <w:rsid w:val="359202CF"/>
    <w:rsid w:val="3599165E"/>
    <w:rsid w:val="3660217B"/>
    <w:rsid w:val="3B117EE8"/>
    <w:rsid w:val="3D6C6CC0"/>
    <w:rsid w:val="400F741F"/>
    <w:rsid w:val="42AB6E74"/>
    <w:rsid w:val="43830D8B"/>
    <w:rsid w:val="463F7FFF"/>
    <w:rsid w:val="46FC1A4C"/>
    <w:rsid w:val="4D634713"/>
    <w:rsid w:val="4F121759"/>
    <w:rsid w:val="53C02053"/>
    <w:rsid w:val="55050666"/>
    <w:rsid w:val="56010E2D"/>
    <w:rsid w:val="56705FB3"/>
    <w:rsid w:val="579E08FE"/>
    <w:rsid w:val="58354DBE"/>
    <w:rsid w:val="5B060C94"/>
    <w:rsid w:val="5EAD6A51"/>
    <w:rsid w:val="61A92379"/>
    <w:rsid w:val="61BE4076"/>
    <w:rsid w:val="63F07345"/>
    <w:rsid w:val="63F7561D"/>
    <w:rsid w:val="66191D84"/>
    <w:rsid w:val="6B637A3C"/>
    <w:rsid w:val="6BF8749F"/>
    <w:rsid w:val="6E160D96"/>
    <w:rsid w:val="704A2F79"/>
    <w:rsid w:val="72A03324"/>
    <w:rsid w:val="73351CBE"/>
    <w:rsid w:val="7645046A"/>
    <w:rsid w:val="79BF0534"/>
    <w:rsid w:val="79D63530"/>
    <w:rsid w:val="7CEF1130"/>
    <w:rsid w:val="7FFF5B2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黑体" w:hAnsi="黑体" w:eastAsia="宋体" w:cs="黑体"/>
      <w:kern w:val="2"/>
      <w:sz w:val="21"/>
      <w:szCs w:val="24"/>
      <w:lang w:val="en-US" w:eastAsia="zh-CN" w:bidi="ar-SA"/>
    </w:rPr>
  </w:style>
  <w:style w:type="paragraph" w:styleId="2">
    <w:name w:val="heading 1"/>
    <w:basedOn w:val="1"/>
    <w:next w:val="1"/>
    <w:link w:val="23"/>
    <w:qFormat/>
    <w:uiPriority w:val="9"/>
    <w:pPr>
      <w:keepNext/>
      <w:keepLines/>
      <w:spacing w:before="480" w:after="80"/>
      <w:outlineLvl w:val="0"/>
    </w:pPr>
    <w:rPr>
      <w:rFonts w:asciiTheme="majorHAnsi" w:hAnsiTheme="majorHAnsi" w:eastAsiaTheme="majorEastAsia" w:cstheme="majorBidi"/>
      <w:color w:val="376092" w:themeColor="accent1" w:themeShade="BF"/>
      <w:sz w:val="48"/>
      <w:szCs w:val="48"/>
    </w:rPr>
  </w:style>
  <w:style w:type="paragraph" w:styleId="3">
    <w:name w:val="heading 2"/>
    <w:basedOn w:val="1"/>
    <w:next w:val="1"/>
    <w:link w:val="24"/>
    <w:semiHidden/>
    <w:unhideWhenUsed/>
    <w:qFormat/>
    <w:uiPriority w:val="9"/>
    <w:pPr>
      <w:keepNext/>
      <w:keepLines/>
      <w:spacing w:before="160" w:after="80"/>
      <w:outlineLvl w:val="1"/>
    </w:pPr>
    <w:rPr>
      <w:rFonts w:asciiTheme="majorHAnsi" w:hAnsiTheme="majorHAnsi" w:eastAsiaTheme="majorEastAsia" w:cstheme="majorBidi"/>
      <w:color w:val="376092" w:themeColor="accent1" w:themeShade="BF"/>
      <w:sz w:val="40"/>
      <w:szCs w:val="40"/>
    </w:rPr>
  </w:style>
  <w:style w:type="paragraph" w:styleId="4">
    <w:name w:val="heading 3"/>
    <w:basedOn w:val="1"/>
    <w:next w:val="1"/>
    <w:link w:val="25"/>
    <w:semiHidden/>
    <w:unhideWhenUsed/>
    <w:qFormat/>
    <w:uiPriority w:val="9"/>
    <w:pPr>
      <w:keepNext/>
      <w:keepLines/>
      <w:spacing w:before="160" w:after="80"/>
      <w:outlineLvl w:val="2"/>
    </w:pPr>
    <w:rPr>
      <w:rFonts w:asciiTheme="majorHAnsi" w:hAnsiTheme="majorHAnsi" w:eastAsiaTheme="majorEastAsia" w:cstheme="majorBidi"/>
      <w:color w:val="376092" w:themeColor="accent1" w:themeShade="BF"/>
      <w:sz w:val="32"/>
      <w:szCs w:val="32"/>
    </w:rPr>
  </w:style>
  <w:style w:type="paragraph" w:styleId="5">
    <w:name w:val="heading 4"/>
    <w:basedOn w:val="1"/>
    <w:next w:val="1"/>
    <w:link w:val="26"/>
    <w:semiHidden/>
    <w:unhideWhenUsed/>
    <w:qFormat/>
    <w:uiPriority w:val="9"/>
    <w:pPr>
      <w:keepNext/>
      <w:keepLines/>
      <w:spacing w:before="80" w:after="40"/>
      <w:outlineLvl w:val="3"/>
    </w:pPr>
    <w:rPr>
      <w:rFonts w:cstheme="majorBidi"/>
      <w:color w:val="376092" w:themeColor="accent1" w:themeShade="BF"/>
      <w:sz w:val="28"/>
      <w:szCs w:val="28"/>
    </w:rPr>
  </w:style>
  <w:style w:type="paragraph" w:styleId="6">
    <w:name w:val="heading 5"/>
    <w:basedOn w:val="1"/>
    <w:next w:val="1"/>
    <w:link w:val="27"/>
    <w:semiHidden/>
    <w:unhideWhenUsed/>
    <w:qFormat/>
    <w:uiPriority w:val="9"/>
    <w:pPr>
      <w:keepNext/>
      <w:keepLines/>
      <w:spacing w:before="80" w:after="40"/>
      <w:outlineLvl w:val="4"/>
    </w:pPr>
    <w:rPr>
      <w:rFonts w:cstheme="majorBidi"/>
      <w:color w:val="376092" w:themeColor="accent1" w:themeShade="BF"/>
      <w:sz w:val="24"/>
    </w:rPr>
  </w:style>
  <w:style w:type="paragraph" w:styleId="7">
    <w:name w:val="heading 6"/>
    <w:basedOn w:val="1"/>
    <w:next w:val="1"/>
    <w:link w:val="28"/>
    <w:semiHidden/>
    <w:unhideWhenUsed/>
    <w:qFormat/>
    <w:uiPriority w:val="9"/>
    <w:pPr>
      <w:keepNext/>
      <w:keepLines/>
      <w:spacing w:before="40"/>
      <w:outlineLvl w:val="5"/>
    </w:pPr>
    <w:rPr>
      <w:rFonts w:cstheme="majorBidi"/>
      <w:b/>
      <w:bCs/>
      <w:color w:val="376092" w:themeColor="accent1" w:themeShade="BF"/>
    </w:rPr>
  </w:style>
  <w:style w:type="paragraph" w:styleId="8">
    <w:name w:val="heading 7"/>
    <w:basedOn w:val="1"/>
    <w:next w:val="1"/>
    <w:link w:val="29"/>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30"/>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31"/>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semiHidden/>
    <w:unhideWhenUsed/>
    <w:qFormat/>
    <w:uiPriority w:val="0"/>
    <w:pPr>
      <w:ind w:firstLine="420" w:firstLineChars="200"/>
    </w:pPr>
  </w:style>
  <w:style w:type="paragraph" w:styleId="12">
    <w:name w:val="annotation text"/>
    <w:basedOn w:val="1"/>
    <w:qFormat/>
    <w:uiPriority w:val="99"/>
    <w:pPr>
      <w:jc w:val="left"/>
    </w:pPr>
  </w:style>
  <w:style w:type="paragraph" w:styleId="13">
    <w:name w:val="Body Text"/>
    <w:basedOn w:val="1"/>
    <w:semiHidden/>
    <w:unhideWhenUsed/>
    <w:qFormat/>
    <w:uiPriority w:val="99"/>
    <w:pPr>
      <w:spacing w:after="120"/>
    </w:pPr>
  </w:style>
  <w:style w:type="paragraph" w:styleId="14">
    <w:name w:val="Plain Text"/>
    <w:basedOn w:val="1"/>
    <w:link w:val="41"/>
    <w:semiHidden/>
    <w:unhideWhenUsed/>
    <w:qFormat/>
    <w:uiPriority w:val="0"/>
    <w:rPr>
      <w:rFonts w:ascii="宋体" w:hAnsi="Courier New" w:eastAsia="微软雅黑" w:cs="Times New Roman"/>
      <w:kern w:val="0"/>
      <w:sz w:val="22"/>
      <w:szCs w:val="22"/>
    </w:rPr>
  </w:style>
  <w:style w:type="paragraph" w:styleId="15">
    <w:name w:val="footer"/>
    <w:basedOn w:val="1"/>
    <w:link w:val="45"/>
    <w:unhideWhenUsed/>
    <w:qFormat/>
    <w:uiPriority w:val="99"/>
    <w:pPr>
      <w:tabs>
        <w:tab w:val="center" w:pos="4153"/>
        <w:tab w:val="right" w:pos="8306"/>
      </w:tabs>
      <w:snapToGrid w:val="0"/>
      <w:jc w:val="left"/>
    </w:pPr>
    <w:rPr>
      <w:sz w:val="18"/>
      <w:szCs w:val="18"/>
    </w:rPr>
  </w:style>
  <w:style w:type="paragraph" w:styleId="16">
    <w:name w:val="header"/>
    <w:basedOn w:val="1"/>
    <w:link w:val="44"/>
    <w:unhideWhenUsed/>
    <w:qFormat/>
    <w:uiPriority w:val="99"/>
    <w:pPr>
      <w:tabs>
        <w:tab w:val="center" w:pos="4153"/>
        <w:tab w:val="right" w:pos="8306"/>
      </w:tabs>
      <w:snapToGrid w:val="0"/>
      <w:jc w:val="center"/>
    </w:pPr>
    <w:rPr>
      <w:sz w:val="18"/>
      <w:szCs w:val="18"/>
    </w:rPr>
  </w:style>
  <w:style w:type="paragraph" w:styleId="17">
    <w:name w:val="Subtitle"/>
    <w:basedOn w:val="1"/>
    <w:next w:val="1"/>
    <w:link w:val="33"/>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8">
    <w:name w:val="Title"/>
    <w:basedOn w:val="1"/>
    <w:next w:val="1"/>
    <w:link w:val="32"/>
    <w:qFormat/>
    <w:uiPriority w:val="10"/>
    <w:pPr>
      <w:spacing w:after="80"/>
      <w:contextualSpacing/>
      <w:jc w:val="center"/>
    </w:pPr>
    <w:rPr>
      <w:rFonts w:asciiTheme="majorHAnsi" w:hAnsiTheme="majorHAnsi" w:eastAsiaTheme="majorEastAsia" w:cstheme="majorBidi"/>
      <w:spacing w:val="-10"/>
      <w:kern w:val="28"/>
      <w:sz w:val="56"/>
      <w:szCs w:val="56"/>
    </w:rPr>
  </w:style>
  <w:style w:type="table" w:styleId="20">
    <w:name w:val="Table Grid"/>
    <w:basedOn w:val="19"/>
    <w:qFormat/>
    <w:uiPriority w:val="0"/>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Strong"/>
    <w:basedOn w:val="21"/>
    <w:qFormat/>
    <w:uiPriority w:val="22"/>
    <w:rPr>
      <w:b/>
    </w:rPr>
  </w:style>
  <w:style w:type="character" w:customStyle="1" w:styleId="23">
    <w:name w:val="标题 1 Char"/>
    <w:basedOn w:val="21"/>
    <w:link w:val="2"/>
    <w:qFormat/>
    <w:uiPriority w:val="9"/>
    <w:rPr>
      <w:rFonts w:asciiTheme="majorHAnsi" w:hAnsiTheme="majorHAnsi" w:eastAsiaTheme="majorEastAsia" w:cstheme="majorBidi"/>
      <w:color w:val="376092" w:themeColor="accent1" w:themeShade="BF"/>
      <w:sz w:val="48"/>
      <w:szCs w:val="48"/>
    </w:rPr>
  </w:style>
  <w:style w:type="character" w:customStyle="1" w:styleId="24">
    <w:name w:val="标题 2 Char"/>
    <w:basedOn w:val="21"/>
    <w:link w:val="3"/>
    <w:semiHidden/>
    <w:qFormat/>
    <w:uiPriority w:val="9"/>
    <w:rPr>
      <w:rFonts w:asciiTheme="majorHAnsi" w:hAnsiTheme="majorHAnsi" w:eastAsiaTheme="majorEastAsia" w:cstheme="majorBidi"/>
      <w:color w:val="376092" w:themeColor="accent1" w:themeShade="BF"/>
      <w:sz w:val="40"/>
      <w:szCs w:val="40"/>
    </w:rPr>
  </w:style>
  <w:style w:type="character" w:customStyle="1" w:styleId="25">
    <w:name w:val="标题 3 Char"/>
    <w:basedOn w:val="21"/>
    <w:link w:val="4"/>
    <w:semiHidden/>
    <w:qFormat/>
    <w:uiPriority w:val="9"/>
    <w:rPr>
      <w:rFonts w:asciiTheme="majorHAnsi" w:hAnsiTheme="majorHAnsi" w:eastAsiaTheme="majorEastAsia" w:cstheme="majorBidi"/>
      <w:color w:val="376092" w:themeColor="accent1" w:themeShade="BF"/>
      <w:sz w:val="32"/>
      <w:szCs w:val="32"/>
    </w:rPr>
  </w:style>
  <w:style w:type="character" w:customStyle="1" w:styleId="26">
    <w:name w:val="标题 4 Char"/>
    <w:basedOn w:val="21"/>
    <w:link w:val="5"/>
    <w:semiHidden/>
    <w:qFormat/>
    <w:uiPriority w:val="9"/>
    <w:rPr>
      <w:rFonts w:cstheme="majorBidi"/>
      <w:color w:val="376092" w:themeColor="accent1" w:themeShade="BF"/>
      <w:sz w:val="28"/>
      <w:szCs w:val="28"/>
    </w:rPr>
  </w:style>
  <w:style w:type="character" w:customStyle="1" w:styleId="27">
    <w:name w:val="标题 5 Char"/>
    <w:basedOn w:val="21"/>
    <w:link w:val="6"/>
    <w:semiHidden/>
    <w:qFormat/>
    <w:uiPriority w:val="9"/>
    <w:rPr>
      <w:rFonts w:cstheme="majorBidi"/>
      <w:color w:val="376092" w:themeColor="accent1" w:themeShade="BF"/>
      <w:sz w:val="24"/>
      <w:szCs w:val="24"/>
    </w:rPr>
  </w:style>
  <w:style w:type="character" w:customStyle="1" w:styleId="28">
    <w:name w:val="标题 6 Char"/>
    <w:basedOn w:val="21"/>
    <w:link w:val="7"/>
    <w:semiHidden/>
    <w:qFormat/>
    <w:uiPriority w:val="9"/>
    <w:rPr>
      <w:rFonts w:cstheme="majorBidi"/>
      <w:b/>
      <w:bCs/>
      <w:color w:val="376092" w:themeColor="accent1" w:themeShade="BF"/>
    </w:rPr>
  </w:style>
  <w:style w:type="character" w:customStyle="1" w:styleId="29">
    <w:name w:val="标题 7 Char"/>
    <w:basedOn w:val="21"/>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30">
    <w:name w:val="标题 8 Char"/>
    <w:basedOn w:val="21"/>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31">
    <w:name w:val="标题 9 Char"/>
    <w:basedOn w:val="21"/>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32">
    <w:name w:val="标题 Char"/>
    <w:basedOn w:val="21"/>
    <w:link w:val="18"/>
    <w:qFormat/>
    <w:uiPriority w:val="10"/>
    <w:rPr>
      <w:rFonts w:asciiTheme="majorHAnsi" w:hAnsiTheme="majorHAnsi" w:eastAsiaTheme="majorEastAsia" w:cstheme="majorBidi"/>
      <w:spacing w:val="-10"/>
      <w:kern w:val="28"/>
      <w:sz w:val="56"/>
      <w:szCs w:val="56"/>
    </w:rPr>
  </w:style>
  <w:style w:type="character" w:customStyle="1" w:styleId="33">
    <w:name w:val="副标题 Char"/>
    <w:basedOn w:val="21"/>
    <w:link w:val="17"/>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4">
    <w:name w:val="Quote"/>
    <w:basedOn w:val="1"/>
    <w:next w:val="1"/>
    <w:link w:val="35"/>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5">
    <w:name w:val="引用 Char"/>
    <w:basedOn w:val="21"/>
    <w:link w:val="34"/>
    <w:qFormat/>
    <w:uiPriority w:val="29"/>
    <w:rPr>
      <w:i/>
      <w:iCs/>
      <w:color w:val="404040" w:themeColor="text1" w:themeTint="BF"/>
      <w14:textFill>
        <w14:solidFill>
          <w14:schemeClr w14:val="tx1">
            <w14:lumMod w14:val="75000"/>
            <w14:lumOff w14:val="25000"/>
          </w14:schemeClr>
        </w14:solidFill>
      </w14:textFill>
    </w:rPr>
  </w:style>
  <w:style w:type="paragraph" w:styleId="36">
    <w:name w:val="List Paragraph"/>
    <w:basedOn w:val="1"/>
    <w:qFormat/>
    <w:uiPriority w:val="99"/>
    <w:pPr>
      <w:ind w:left="720"/>
      <w:contextualSpacing/>
    </w:pPr>
  </w:style>
  <w:style w:type="character" w:customStyle="1" w:styleId="37">
    <w:name w:val="Intense Emphasis"/>
    <w:basedOn w:val="21"/>
    <w:qFormat/>
    <w:uiPriority w:val="21"/>
    <w:rPr>
      <w:i/>
      <w:iCs/>
      <w:color w:val="376092" w:themeColor="accent1" w:themeShade="BF"/>
    </w:rPr>
  </w:style>
  <w:style w:type="paragraph" w:styleId="38">
    <w:name w:val="Intense Quote"/>
    <w:basedOn w:val="1"/>
    <w:next w:val="1"/>
    <w:link w:val="39"/>
    <w:qFormat/>
    <w:uiPriority w:val="30"/>
    <w:pPr>
      <w:pBdr>
        <w:top w:val="single" w:color="366091" w:themeColor="accent1" w:themeShade="BF" w:sz="4" w:space="10"/>
        <w:bottom w:val="single" w:color="366091" w:themeColor="accent1" w:themeShade="BF" w:sz="4" w:space="10"/>
      </w:pBdr>
      <w:spacing w:before="360" w:after="360"/>
      <w:ind w:left="864" w:right="864"/>
      <w:jc w:val="center"/>
    </w:pPr>
    <w:rPr>
      <w:i/>
      <w:iCs/>
      <w:color w:val="376092" w:themeColor="accent1" w:themeShade="BF"/>
    </w:rPr>
  </w:style>
  <w:style w:type="character" w:customStyle="1" w:styleId="39">
    <w:name w:val="明显引用 Char"/>
    <w:basedOn w:val="21"/>
    <w:link w:val="38"/>
    <w:qFormat/>
    <w:uiPriority w:val="30"/>
    <w:rPr>
      <w:i/>
      <w:iCs/>
      <w:color w:val="376092" w:themeColor="accent1" w:themeShade="BF"/>
    </w:rPr>
  </w:style>
  <w:style w:type="character" w:customStyle="1" w:styleId="40">
    <w:name w:val="Intense Reference"/>
    <w:basedOn w:val="21"/>
    <w:qFormat/>
    <w:uiPriority w:val="32"/>
    <w:rPr>
      <w:b/>
      <w:bCs/>
      <w:smallCaps/>
      <w:color w:val="376092" w:themeColor="accent1" w:themeShade="BF"/>
      <w:spacing w:val="5"/>
    </w:rPr>
  </w:style>
  <w:style w:type="character" w:customStyle="1" w:styleId="41">
    <w:name w:val="纯文本 Char"/>
    <w:basedOn w:val="21"/>
    <w:link w:val="14"/>
    <w:semiHidden/>
    <w:qFormat/>
    <w:uiPriority w:val="0"/>
    <w:rPr>
      <w:rFonts w:ascii="宋体" w:hAnsi="Courier New" w:eastAsia="微软雅黑" w:cs="Times New Roman"/>
      <w:kern w:val="0"/>
      <w:sz w:val="22"/>
    </w:rPr>
  </w:style>
  <w:style w:type="paragraph" w:customStyle="1" w:styleId="42">
    <w:name w:val="Default"/>
    <w:qFormat/>
    <w:uiPriority w:val="0"/>
    <w:pPr>
      <w:widowControl w:val="0"/>
      <w:autoSpaceDE w:val="0"/>
      <w:autoSpaceDN w:val="0"/>
      <w:adjustRightInd w:val="0"/>
    </w:pPr>
    <w:rPr>
      <w:rFonts w:ascii="宋体" w:hAnsi="Times New Roman" w:eastAsia="宋体" w:cs="Times New Roman"/>
      <w:color w:val="000000"/>
      <w:kern w:val="0"/>
      <w:sz w:val="24"/>
      <w:szCs w:val="24"/>
      <w:lang w:val="en-US" w:eastAsia="zh-CN" w:bidi="ar-SA"/>
    </w:rPr>
  </w:style>
  <w:style w:type="paragraph" w:customStyle="1" w:styleId="43">
    <w:name w:val="Fließtext"/>
    <w:basedOn w:val="1"/>
    <w:qFormat/>
    <w:uiPriority w:val="0"/>
    <w:pPr>
      <w:overflowPunct w:val="0"/>
      <w:autoSpaceDE w:val="0"/>
      <w:autoSpaceDN w:val="0"/>
      <w:adjustRightInd w:val="0"/>
    </w:pPr>
    <w:rPr>
      <w:rFonts w:ascii="Times New Roman" w:hAnsi="Times New Roman" w:cs="Times New Roman"/>
      <w:kern w:val="28"/>
      <w:szCs w:val="20"/>
    </w:rPr>
  </w:style>
  <w:style w:type="character" w:customStyle="1" w:styleId="44">
    <w:name w:val="页眉 Char"/>
    <w:basedOn w:val="21"/>
    <w:link w:val="16"/>
    <w:qFormat/>
    <w:uiPriority w:val="99"/>
    <w:rPr>
      <w:rFonts w:ascii="黑体" w:hAnsi="黑体" w:eastAsia="宋体" w:cs="黑体"/>
      <w:sz w:val="18"/>
      <w:szCs w:val="18"/>
    </w:rPr>
  </w:style>
  <w:style w:type="character" w:customStyle="1" w:styleId="45">
    <w:name w:val="页脚 Char"/>
    <w:basedOn w:val="21"/>
    <w:link w:val="15"/>
    <w:qFormat/>
    <w:uiPriority w:val="99"/>
    <w:rPr>
      <w:rFonts w:ascii="黑体" w:hAnsi="黑体" w:eastAsia="宋体" w:cs="黑体"/>
      <w:sz w:val="18"/>
      <w:szCs w:val="18"/>
    </w:rPr>
  </w:style>
  <w:style w:type="paragraph" w:customStyle="1" w:styleId="46">
    <w:name w:val="null3"/>
    <w:qFormat/>
    <w:uiPriority w:val="0"/>
    <w:rPr>
      <w:rFonts w:hint="eastAsia" w:ascii="Calibri" w:hAnsi="Calibri" w:eastAsia="宋体" w:cs="Times New Roman"/>
      <w:lang w:val="en-US" w:eastAsia="zh-Hans" w:bidi="ar-SA"/>
    </w:rPr>
  </w:style>
  <w:style w:type="paragraph" w:customStyle="1" w:styleId="47">
    <w:name w:val="无间隔1"/>
    <w:qFormat/>
    <w:uiPriority w:val="1"/>
    <w:pPr>
      <w:widowControl w:val="0"/>
      <w:spacing w:line="360" w:lineRule="auto"/>
      <w:jc w:val="both"/>
    </w:pPr>
    <w:rPr>
      <w:rFonts w:ascii="Times New Roman" w:hAnsi="Times New Roman" w:eastAsia="宋体" w:cs="Times New Roman"/>
      <w:sz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HP Inc.</Company>
  <Pages>18</Pages>
  <Words>4144</Words>
  <Characters>4364</Characters>
  <Lines>29</Lines>
  <Paragraphs>8</Paragraphs>
  <TotalTime>396</TotalTime>
  <ScaleCrop>false</ScaleCrop>
  <LinksUpToDate>false</LinksUpToDate>
  <CharactersWithSpaces>4473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2024-05-07T09:07:00Z</dcterms:created>
  <dc:creator>Admin</dc:creator>
  <cp:lastModifiedBy>杨福盛</cp:lastModifiedBy>
  <dcterms:modified xsi:type="dcterms:W3CDTF">2026-05-19T08:40:59Z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eyJoZGlkIjoiOTllY2IzMjcxYzZjZWZiMTgyM2M4YzNkYzEwNDI5NDEiLCJ1c2VySWQiOiIxNzMwMjM0MDM4In0=</vt:lpwstr>
  </property>
  <property fmtid="{D5CDD505-2E9C-101B-9397-08002B2CF9AE}" pid="3" name="KSOProductBuildVer">
    <vt:lpwstr>2052-12.1.0.25865</vt:lpwstr>
  </property>
  <property fmtid="{D5CDD505-2E9C-101B-9397-08002B2CF9AE}" pid="4" name="ICV">
    <vt:lpwstr>2220F6C92BB34C9EB953FA68181D28CD_13</vt:lpwstr>
  </property>
</Properties>
</file>