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2"/>
        <w:spacing w:before="0" w:after="0" w:line="576" w:lineRule="auto"/>
        <w:jc w:val="center"/>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采购调研</w:t>
      </w:r>
      <w:r>
        <w:rPr>
          <w:rFonts w:hint="eastAsia" w:ascii="方正小标宋简体" w:hAnsi="方正小标宋简体" w:eastAsia="方正小标宋简体" w:cs="方正小标宋简体"/>
          <w:b w:val="0"/>
          <w:color w:val="auto"/>
          <w:kern w:val="2"/>
          <w:sz w:val="44"/>
          <w:szCs w:val="44"/>
        </w:rPr>
        <w:t>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4"/>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 xml:space="preserve">内网万兆防火墙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FBD2977">
            <w:pPr>
              <w:spacing w:before="15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调研报名时间： 2026 年</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12</w:t>
            </w:r>
            <w:r>
              <w:rPr>
                <w:rFonts w:hint="eastAsia" w:ascii="仿宋_GB2312" w:hAnsi="仿宋_GB2312" w:eastAsia="仿宋_GB2312" w:cs="仿宋_GB2312"/>
                <w:color w:val="000000"/>
                <w:sz w:val="32"/>
                <w:szCs w:val="32"/>
              </w:rPr>
              <w:t xml:space="preserve">日至 </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lang w:val="en-US" w:eastAsia="zh-CN"/>
              </w:rPr>
              <w:t>18</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pacing w:val="-8"/>
                <w:sz w:val="32"/>
                <w:szCs w:val="32"/>
                <w:shd w:val="clear" w:color="auto" w:fill="FFFFFF"/>
              </w:rPr>
              <w:t>(节假日除外)8：00-12：00或14：</w:t>
            </w:r>
            <w:r>
              <w:rPr>
                <w:rFonts w:hint="eastAsia" w:ascii="仿宋_GB2312" w:hAnsi="仿宋_GB2312" w:eastAsia="仿宋_GB2312" w:cs="仿宋_GB2312"/>
                <w:color w:val="000000"/>
                <w:spacing w:val="-8"/>
                <w:sz w:val="32"/>
                <w:szCs w:val="32"/>
                <w:shd w:val="clear" w:color="auto" w:fill="FFFFFF"/>
                <w:lang w:val="en-US" w:eastAsia="zh-CN"/>
              </w:rPr>
              <w:t>3</w:t>
            </w:r>
            <w:r>
              <w:rPr>
                <w:rFonts w:hint="eastAsia" w:ascii="仿宋_GB2312" w:hAnsi="仿宋_GB2312" w:eastAsia="仿宋_GB2312" w:cs="仿宋_GB2312"/>
                <w:color w:val="000000"/>
                <w:spacing w:val="-8"/>
                <w:sz w:val="32"/>
                <w:szCs w:val="32"/>
                <w:shd w:val="clear" w:color="auto" w:fill="FFFFFF"/>
              </w:rPr>
              <w:t>0-17：30(北京时间）</w:t>
            </w:r>
          </w:p>
          <w:p w14:paraId="26EC9BA4">
            <w:pPr>
              <w:spacing w:line="315" w:lineRule="atLeas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调研会时间： 2026 年</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20</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0</w:t>
            </w:r>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eastAsia"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钱工、郑工</w:t>
      </w:r>
    </w:p>
    <w:p w14:paraId="46CC8ADE">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tbl>
      <w:tblPr>
        <w:tblStyle w:val="16"/>
        <w:tblW w:w="9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84"/>
        <w:gridCol w:w="4216"/>
        <w:gridCol w:w="1418"/>
        <w:gridCol w:w="1960"/>
      </w:tblGrid>
      <w:tr w14:paraId="48F8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1684" w:type="dxa"/>
            <w:vAlign w:val="center"/>
          </w:tcPr>
          <w:p w14:paraId="2E06055D">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2"/>
                <w:sz w:val="28"/>
                <w:szCs w:val="28"/>
              </w:rPr>
            </w:pPr>
            <w:r>
              <w:rPr>
                <w:rFonts w:hint="eastAsia" w:ascii="仿宋_GB2312" w:hAnsi="仿宋_GB2312" w:eastAsia="仿宋_GB2312" w:cs="仿宋_GB2312"/>
                <w:b/>
                <w:color w:val="000000"/>
                <w:kern w:val="0"/>
                <w:sz w:val="28"/>
                <w:szCs w:val="28"/>
              </w:rPr>
              <w:t>合同包</w:t>
            </w:r>
          </w:p>
        </w:tc>
        <w:tc>
          <w:tcPr>
            <w:tcW w:w="4216" w:type="dxa"/>
            <w:vAlign w:val="center"/>
          </w:tcPr>
          <w:p w14:paraId="229BA02E">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color w:val="000000"/>
                <w:kern w:val="0"/>
                <w:sz w:val="28"/>
                <w:szCs w:val="28"/>
              </w:rPr>
              <w:t>名称</w:t>
            </w:r>
          </w:p>
        </w:tc>
        <w:tc>
          <w:tcPr>
            <w:tcW w:w="1418" w:type="dxa"/>
            <w:vAlign w:val="center"/>
          </w:tcPr>
          <w:p w14:paraId="3851294F">
            <w:pPr>
              <w:widowControl/>
              <w:snapToGrid w:val="0"/>
              <w:spacing w:after="0" w:line="240" w:lineRule="auto"/>
              <w:ind w:left="0" w:leftChars="0" w:right="0" w:rightChars="0" w:firstLine="0" w:firstLineChars="0"/>
              <w:jc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数量</w:t>
            </w:r>
          </w:p>
        </w:tc>
        <w:tc>
          <w:tcPr>
            <w:tcW w:w="1960" w:type="dxa"/>
            <w:vAlign w:val="center"/>
          </w:tcPr>
          <w:p w14:paraId="1BC67E17">
            <w:pPr>
              <w:widowControl/>
              <w:snapToGrid w:val="0"/>
              <w:spacing w:after="0" w:line="240" w:lineRule="auto"/>
              <w:ind w:left="0" w:leftChars="0" w:right="0" w:rightChars="0" w:firstLine="0" w:firstLineChars="0"/>
              <w:jc w:val="center"/>
              <w:rPr>
                <w:rFonts w:hint="eastAsia"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预算（万元）</w:t>
            </w:r>
          </w:p>
        </w:tc>
      </w:tr>
      <w:tr w14:paraId="45545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684" w:type="dxa"/>
            <w:vAlign w:val="center"/>
          </w:tcPr>
          <w:p w14:paraId="50797CE7">
            <w:pPr>
              <w:widowControl/>
              <w:snapToGrid w:val="0"/>
              <w:spacing w:after="0" w:line="240" w:lineRule="auto"/>
              <w:ind w:left="0" w:leftChars="0" w:right="0" w:rightChars="0"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kern w:val="0"/>
                <w:sz w:val="32"/>
                <w:szCs w:val="32"/>
              </w:rPr>
              <w:t>（一）</w:t>
            </w:r>
          </w:p>
        </w:tc>
        <w:tc>
          <w:tcPr>
            <w:tcW w:w="4216" w:type="dxa"/>
            <w:vAlign w:val="center"/>
          </w:tcPr>
          <w:p w14:paraId="4356A65F">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宋体" w:eastAsia="仿宋_GB2312" w:cs="Times New Roman"/>
                <w:kern w:val="2"/>
                <w:sz w:val="32"/>
                <w:szCs w:val="24"/>
                <w:lang w:val="en-US" w:eastAsia="zh-CN" w:bidi="ar-SA"/>
              </w:rPr>
            </w:pPr>
            <w:r>
              <w:rPr>
                <w:rFonts w:hint="eastAsia" w:ascii="仿宋_GB2312" w:hAnsi="仿宋_GB2312" w:eastAsia="仿宋_GB2312" w:cs="仿宋_GB2312"/>
                <w:color w:val="000000"/>
                <w:kern w:val="0"/>
                <w:sz w:val="32"/>
                <w:szCs w:val="32"/>
                <w:lang w:val="en-US" w:eastAsia="zh-CN" w:bidi="ar-SA"/>
              </w:rPr>
              <w:t>内网万兆防火墙</w:t>
            </w:r>
          </w:p>
        </w:tc>
        <w:tc>
          <w:tcPr>
            <w:tcW w:w="1418" w:type="dxa"/>
            <w:vAlign w:val="center"/>
          </w:tcPr>
          <w:p w14:paraId="70ED8980">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1套</w:t>
            </w:r>
          </w:p>
        </w:tc>
        <w:tc>
          <w:tcPr>
            <w:tcW w:w="1960" w:type="dxa"/>
            <w:vAlign w:val="center"/>
          </w:tcPr>
          <w:p w14:paraId="12B09591">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25</w:t>
            </w:r>
          </w:p>
        </w:tc>
      </w:tr>
    </w:tbl>
    <w:p w14:paraId="22B9D79D">
      <w:pPr>
        <w:numPr>
          <w:ilvl w:val="0"/>
          <w:numId w:val="0"/>
        </w:numPr>
        <w:spacing w:line="360" w:lineRule="auto"/>
        <w:rPr>
          <w:rFonts w:hint="eastAsia"/>
          <w:b/>
          <w:bCs/>
          <w:sz w:val="28"/>
          <w:szCs w:val="28"/>
        </w:rPr>
      </w:pPr>
      <w:r>
        <w:rPr>
          <w:rFonts w:hint="eastAsia"/>
          <w:b/>
          <w:bCs/>
          <w:sz w:val="28"/>
          <w:szCs w:val="28"/>
        </w:rPr>
        <w:t>二、技术功能及服务要求</w:t>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96"/>
        <w:gridCol w:w="797"/>
        <w:gridCol w:w="6927"/>
      </w:tblGrid>
      <w:tr w14:paraId="78AB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467" w:type="pct"/>
            <w:shd w:val="clear" w:color="auto" w:fill="auto"/>
            <w:vAlign w:val="center"/>
          </w:tcPr>
          <w:p w14:paraId="6BF647E9">
            <w:pPr>
              <w:widowControl/>
              <w:wordWrap/>
              <w:spacing w:before="0" w:after="0" w:line="480" w:lineRule="auto"/>
              <w:ind w:left="0" w:leftChars="0" w:right="0" w:firstLine="0" w:firstLineChars="0"/>
              <w:jc w:val="center"/>
              <w:rPr>
                <w:rFonts w:hint="eastAsia" w:ascii="仿宋_GB2312" w:hAnsi="仿宋_GB2312" w:eastAsia="仿宋_GB2312" w:cs="仿宋_GB2312"/>
                <w:b w:val="0"/>
                <w:bCs w:val="0"/>
                <w:color w:val="000000"/>
                <w:kern w:val="0"/>
                <w:sz w:val="28"/>
                <w:szCs w:val="28"/>
                <w:lang w:val="en-US" w:eastAsia="zh-CN"/>
              </w:rPr>
            </w:pPr>
            <w:r>
              <w:rPr>
                <w:rFonts w:hint="default" w:ascii="仿宋_GB2312" w:hAnsi="仿宋_GB2312" w:eastAsia="仿宋_GB2312" w:cs="仿宋_GB2312"/>
                <w:b w:val="0"/>
                <w:bCs w:val="0"/>
                <w:color w:val="000000"/>
                <w:kern w:val="0"/>
                <w:sz w:val="28"/>
                <w:szCs w:val="28"/>
                <w:lang w:val="en-US" w:eastAsia="zh-CN"/>
              </w:rPr>
              <w:t>序号</w:t>
            </w:r>
          </w:p>
        </w:tc>
        <w:tc>
          <w:tcPr>
            <w:tcW w:w="468" w:type="pct"/>
            <w:shd w:val="clear" w:color="auto" w:fill="auto"/>
            <w:vAlign w:val="center"/>
          </w:tcPr>
          <w:p w14:paraId="51DEFF26">
            <w:pPr>
              <w:widowControl/>
              <w:wordWrap/>
              <w:spacing w:before="0" w:after="0" w:line="480" w:lineRule="auto"/>
              <w:ind w:left="0" w:leftChars="0" w:right="0" w:firstLine="0" w:firstLineChars="0"/>
              <w:jc w:val="center"/>
              <w:rPr>
                <w:rFonts w:hint="default" w:ascii="仿宋_GB2312" w:hAnsi="仿宋_GB2312" w:eastAsia="仿宋_GB2312" w:cs="仿宋_GB2312"/>
                <w:b w:val="0"/>
                <w:bCs w:val="0"/>
                <w:color w:val="000000"/>
                <w:kern w:val="0"/>
                <w:sz w:val="28"/>
                <w:szCs w:val="28"/>
                <w:lang w:val="en-US" w:eastAsia="zh-CN"/>
              </w:rPr>
            </w:pPr>
            <w:r>
              <w:rPr>
                <w:rFonts w:hint="default" w:ascii="仿宋_GB2312" w:hAnsi="仿宋_GB2312" w:eastAsia="仿宋_GB2312" w:cs="仿宋_GB2312"/>
                <w:b w:val="0"/>
                <w:bCs w:val="0"/>
                <w:color w:val="000000"/>
                <w:kern w:val="0"/>
                <w:sz w:val="28"/>
                <w:szCs w:val="28"/>
                <w:lang w:val="en-US" w:eastAsia="zh-CN"/>
              </w:rPr>
              <w:t>项目</w:t>
            </w:r>
          </w:p>
        </w:tc>
        <w:tc>
          <w:tcPr>
            <w:tcW w:w="0" w:type="auto"/>
            <w:shd w:val="clear" w:color="auto" w:fill="auto"/>
            <w:vAlign w:val="center"/>
          </w:tcPr>
          <w:p w14:paraId="559B6EC6">
            <w:pPr>
              <w:widowControl/>
              <w:wordWrap/>
              <w:spacing w:before="0" w:after="0" w:line="480" w:lineRule="auto"/>
              <w:ind w:left="0" w:leftChars="0" w:right="0" w:firstLine="0" w:firstLineChars="0"/>
              <w:jc w:val="center"/>
              <w:rPr>
                <w:rFonts w:hint="default" w:ascii="仿宋_GB2312" w:hAnsi="仿宋_GB2312" w:eastAsia="仿宋_GB2312" w:cs="仿宋_GB2312"/>
                <w:b w:val="0"/>
                <w:bCs w:val="0"/>
                <w:color w:val="000000"/>
                <w:kern w:val="0"/>
                <w:sz w:val="28"/>
                <w:szCs w:val="28"/>
                <w:lang w:val="en-US" w:eastAsia="zh-CN"/>
              </w:rPr>
            </w:pPr>
            <w:r>
              <w:rPr>
                <w:rFonts w:hint="default" w:ascii="仿宋_GB2312" w:hAnsi="仿宋_GB2312" w:eastAsia="仿宋_GB2312" w:cs="仿宋_GB2312"/>
                <w:b w:val="0"/>
                <w:bCs w:val="0"/>
                <w:color w:val="000000"/>
                <w:kern w:val="0"/>
                <w:sz w:val="28"/>
                <w:szCs w:val="28"/>
                <w:lang w:val="en-US" w:eastAsia="zh-CN"/>
              </w:rPr>
              <w:t>技术参数要求</w:t>
            </w:r>
          </w:p>
        </w:tc>
      </w:tr>
      <w:tr w14:paraId="60A8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1" w:hRule="atLeast"/>
        </w:trPr>
        <w:tc>
          <w:tcPr>
            <w:tcW w:w="467" w:type="pct"/>
            <w:shd w:val="clear" w:color="auto" w:fill="auto"/>
            <w:vAlign w:val="center"/>
          </w:tcPr>
          <w:p w14:paraId="71DB1040">
            <w:pPr>
              <w:widowControl/>
              <w:wordWrap/>
              <w:spacing w:before="0" w:after="0" w:line="480" w:lineRule="auto"/>
              <w:ind w:left="0" w:leftChars="0" w:right="0" w:firstLine="0" w:firstLineChars="0"/>
              <w:jc w:val="center"/>
              <w:rPr>
                <w:rFonts w:hint="default" w:ascii="仿宋_GB2312" w:hAnsi="仿宋_GB2312" w:eastAsia="仿宋_GB2312" w:cs="仿宋_GB2312"/>
                <w:b w:val="0"/>
                <w:bCs w:val="0"/>
                <w:color w:val="000000"/>
                <w:kern w:val="0"/>
                <w:sz w:val="28"/>
                <w:szCs w:val="28"/>
                <w:lang w:val="en-US" w:eastAsia="zh-CN"/>
              </w:rPr>
            </w:pPr>
            <w:r>
              <w:rPr>
                <w:rFonts w:hint="default" w:ascii="仿宋_GB2312" w:hAnsi="仿宋_GB2312" w:eastAsia="仿宋_GB2312" w:cs="仿宋_GB2312"/>
                <w:b w:val="0"/>
                <w:bCs w:val="0"/>
                <w:color w:val="000000"/>
                <w:kern w:val="0"/>
                <w:sz w:val="28"/>
                <w:szCs w:val="28"/>
                <w:lang w:val="en-US" w:eastAsia="zh-CN"/>
              </w:rPr>
              <w:t>1</w:t>
            </w:r>
          </w:p>
        </w:tc>
        <w:tc>
          <w:tcPr>
            <w:tcW w:w="468" w:type="pct"/>
            <w:shd w:val="clear" w:color="auto" w:fill="auto"/>
            <w:vAlign w:val="center"/>
          </w:tcPr>
          <w:p w14:paraId="649467CD">
            <w:pPr>
              <w:widowControl/>
              <w:wordWrap/>
              <w:spacing w:before="0" w:after="0" w:line="480" w:lineRule="auto"/>
              <w:ind w:left="0" w:leftChars="0" w:right="0" w:firstLine="0" w:firstLineChars="0"/>
              <w:jc w:val="center"/>
              <w:rPr>
                <w:rFonts w:hint="default" w:ascii="仿宋_GB2312" w:hAnsi="仿宋_GB2312" w:eastAsia="仿宋_GB2312" w:cs="仿宋_GB2312"/>
                <w:b w:val="0"/>
                <w:bCs w:val="0"/>
                <w:color w:val="000000"/>
                <w:kern w:val="0"/>
                <w:sz w:val="28"/>
                <w:szCs w:val="28"/>
                <w:lang w:val="en-US" w:eastAsia="zh-CN"/>
              </w:rPr>
            </w:pPr>
            <w:r>
              <w:rPr>
                <w:rFonts w:hint="default" w:ascii="仿宋_GB2312" w:hAnsi="仿宋_GB2312" w:eastAsia="仿宋_GB2312" w:cs="仿宋_GB2312"/>
                <w:b w:val="0"/>
                <w:bCs w:val="0"/>
                <w:color w:val="000000"/>
                <w:kern w:val="0"/>
                <w:sz w:val="28"/>
                <w:szCs w:val="28"/>
                <w:lang w:val="en-US" w:eastAsia="zh-CN"/>
              </w:rPr>
              <w:t>内网万兆防火墙</w:t>
            </w:r>
          </w:p>
        </w:tc>
        <w:tc>
          <w:tcPr>
            <w:tcW w:w="0" w:type="auto"/>
            <w:shd w:val="clear" w:color="auto" w:fill="auto"/>
            <w:vAlign w:val="center"/>
          </w:tcPr>
          <w:p w14:paraId="3D9E691B">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1.2U标准机架式设备，电口+光口，≥1T硬盘，冗余双电源，支持≥2个扩展插槽；</w:t>
            </w:r>
          </w:p>
          <w:p w14:paraId="5412F83E">
            <w:pPr>
              <w:widowControl/>
              <w:numPr>
                <w:ilvl w:val="0"/>
                <w:numId w:val="0"/>
              </w:numPr>
              <w:wordWrap/>
              <w:spacing w:before="0" w:after="0" w:line="480" w:lineRule="auto"/>
              <w:ind w:right="0" w:right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2.网络吞吐量≥40Gbps，最大并发连接数≥800万；</w:t>
            </w:r>
          </w:p>
          <w:p w14:paraId="1389B614">
            <w:pPr>
              <w:widowControl/>
              <w:numPr>
                <w:ilvl w:val="0"/>
                <w:numId w:val="0"/>
              </w:numPr>
              <w:wordWrap/>
              <w:spacing w:before="0" w:after="0" w:line="480" w:lineRule="auto"/>
              <w:ind w:right="0" w:right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3.支持入侵防护功能，防病毒功能，VPN功能，APT防护，协调联动；</w:t>
            </w:r>
          </w:p>
          <w:p w14:paraId="0374CAE4">
            <w:pPr>
              <w:widowControl/>
              <w:numPr>
                <w:ilvl w:val="0"/>
                <w:numId w:val="0"/>
              </w:numPr>
              <w:wordWrap/>
              <w:spacing w:before="0" w:after="0" w:line="480" w:lineRule="auto"/>
              <w:ind w:right="0" w:right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4.至少包含三年IPS、AV、应用识别特征库升级服务。</w:t>
            </w:r>
          </w:p>
          <w:p w14:paraId="4804E6CA">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5.防火墙应支持展示攻击源的相关信息，包括但不少于：归属地、级别、攻击次数、开始时间、结束时间等，支持针对攻击源进行“一键处置”，将攻击源加入至黑名单；</w:t>
            </w:r>
          </w:p>
          <w:p w14:paraId="7FFA944E">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2.防火墙应支持弱口令扫描能力，可针对IP、IP端、端口等对象，扫描监控空密码、用户名密码相同、预置弱口令、自定义弱口令等规则，可设置立即扫描或定期扫描，弱口令字典可自定义设置。</w:t>
            </w:r>
          </w:p>
          <w:p w14:paraId="5C0B7EFB">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3.防火墙应支持端口镜像功能，支持入流量、出流量和双向流量等类型的镜像；</w:t>
            </w:r>
          </w:p>
          <w:p w14:paraId="2CF4B6AF">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4.防火墙应提供智能策略分析功能，支持策略命中分析、隐藏策略分析、冗余策略分析、冲突策略分析、可合并策略分析、过期策略发现、空策略发现、策略宽松度分析，并在web页面显示分析结果；</w:t>
            </w:r>
          </w:p>
          <w:p w14:paraId="43B18B85">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5.防火墙应支持虚拟路由转发功能，使用VRF功能可以从系统层面隔离不同VRF组里的流量信息和路由信息；</w:t>
            </w:r>
          </w:p>
          <w:p w14:paraId="733D7C7D">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6.防火墙应支持针对HTTP协议中7个字段10个条件进行精确访问控制，可针对IP、URL、Method、Referer、User-Agent、Cookie、Url-args等字段设置内容，匹配内容包括但不少于：包括、不包含、等于、不等于、长度小于、长度等于、长度大于、正则匹配等；日志级别包括但不少于：危急、告警、严重、错误、警告、通知、信息等。</w:t>
            </w:r>
          </w:p>
          <w:p w14:paraId="570D8AAC">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7.防火墙应支持安全事件攻击链分析，以资产和攻击者两种角度关联所有安全事件，将攻击过程阶段化，分析和统计每个攻击阶段的攻击内容和攻击次数，支持针对每个攻击阶段进行数据下钻，支持分析攻击时间、攻击源、攻击目的、攻击事件、检测模块、攻击级别等信息。</w:t>
            </w:r>
          </w:p>
          <w:p w14:paraId="1B20FF27">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8.防火墙应支持数据下钻至单资产风险详情，可自动关联该资产所有安全信息，安全信息包括但不少于：入侵防御、威胁情报、WEB防护、病毒防护、防暴力破解、非法外联防护、弱密码防护、扫描攻击防御和行为模型等，支持以趋势图方式按时间展示各类安全事件的趋势，方便管理员快速了解资产安全状况，以便进行准确的进行安全防护。</w:t>
            </w:r>
          </w:p>
          <w:p w14:paraId="46D5AE69">
            <w:pPr>
              <w:widowControl/>
              <w:wordWrap/>
              <w:spacing w:before="0" w:after="0" w:line="480" w:lineRule="auto"/>
              <w:ind w:left="0" w:leftChars="0" w:right="0" w:firstLine="0" w:firstLineChars="0"/>
              <w:jc w:val="both"/>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9.防火墙应支持应用缓存加速，支持安卓和IOS形式的文件，主动缓存文件形式不限于视频、APP等；设备智能解析用户流量，针对域名或者文件请求，设备推送文件至终端，帮助用户缓解互联网出口压力，实现文件下载加速的效果。</w:t>
            </w:r>
          </w:p>
          <w:p w14:paraId="07BD6B60">
            <w:pPr>
              <w:widowControl/>
              <w:numPr>
                <w:ilvl w:val="0"/>
                <w:numId w:val="0"/>
              </w:numPr>
              <w:wordWrap/>
              <w:spacing w:before="0" w:beforeAutospacing="0" w:after="0" w:afterAutospacing="0" w:line="360" w:lineRule="auto"/>
              <w:ind w:left="0" w:leftChars="0" w:right="0" w:firstLine="0" w:firstLineChars="0"/>
              <w:jc w:val="both"/>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bidi="ar-SA"/>
              </w:rPr>
              <w:t>10.防火墙应支持基于负载链路进行dns-dnat机制，解决用户主机配置DNS解析结果，与实际转发运营商链路解析结果有冲突，从而导致跨运营商访问慢的问题；支持进行DNS探测，针对探测失败情况，支持选择禁用dns-dnat功能或禁用负载链路出接口。</w:t>
            </w:r>
          </w:p>
          <w:p w14:paraId="7A306F4C">
            <w:pPr>
              <w:widowControl w:val="0"/>
              <w:overflowPunct w:val="0"/>
              <w:autoSpaceDE w:val="0"/>
              <w:autoSpaceDN w:val="0"/>
              <w:adjustRightInd w:val="0"/>
              <w:jc w:val="both"/>
              <w:textAlignment w:val="baseline"/>
              <w:rPr>
                <w:rFonts w:hint="eastAsia" w:ascii="宋体" w:hAnsi="宋体" w:eastAsia="宋体" w:cs="宋体"/>
                <w:kern w:val="28"/>
                <w:sz w:val="24"/>
                <w:szCs w:val="24"/>
                <w:lang w:val="en-US" w:eastAsia="zh-CN" w:bidi="ar-SA"/>
              </w:rPr>
            </w:pPr>
          </w:p>
          <w:p w14:paraId="78BF7DD6">
            <w:pPr>
              <w:widowControl w:val="0"/>
              <w:overflowPunct w:val="0"/>
              <w:autoSpaceDE w:val="0"/>
              <w:autoSpaceDN w:val="0"/>
              <w:adjustRightInd w:val="0"/>
              <w:jc w:val="both"/>
              <w:textAlignment w:val="baseline"/>
              <w:rPr>
                <w:rFonts w:hint="default" w:ascii="Calibri" w:hAnsi="Calibri" w:eastAsia="仿宋_GB2312" w:cs="黑体"/>
                <w:kern w:val="28"/>
                <w:sz w:val="24"/>
                <w:szCs w:val="20"/>
                <w:lang w:val="en-US" w:eastAsia="zh-CN" w:bidi="ar-SA"/>
              </w:rPr>
            </w:pPr>
          </w:p>
        </w:tc>
      </w:tr>
    </w:tbl>
    <w:p w14:paraId="0A4BAEEE">
      <w:pPr>
        <w:numPr>
          <w:ilvl w:val="0"/>
          <w:numId w:val="0"/>
        </w:numPr>
        <w:spacing w:line="360" w:lineRule="auto"/>
        <w:rPr>
          <w:rFonts w:hint="eastAsia"/>
          <w:sz w:val="28"/>
          <w:szCs w:val="28"/>
        </w:rPr>
      </w:pPr>
    </w:p>
    <w:p w14:paraId="5F2DC2F2">
      <w:pPr>
        <w:spacing w:line="360" w:lineRule="auto"/>
        <w:rPr>
          <w:sz w:val="28"/>
          <w:szCs w:val="28"/>
        </w:rPr>
      </w:pPr>
      <w:r>
        <w:rPr>
          <w:rFonts w:hint="eastAsia"/>
          <w:b/>
          <w:bCs/>
          <w:sz w:val="28"/>
          <w:szCs w:val="28"/>
          <w:lang w:val="en-US" w:eastAsia="zh-CN"/>
        </w:rPr>
        <w:t>二</w:t>
      </w:r>
      <w:r>
        <w:rPr>
          <w:rFonts w:hint="eastAsia"/>
          <w:b/>
          <w:bCs/>
          <w:sz w:val="28"/>
          <w:szCs w:val="28"/>
        </w:rPr>
        <w:t>、其他要求</w:t>
      </w:r>
    </w:p>
    <w:p w14:paraId="17E4957B">
      <w:pPr>
        <w:spacing w:line="360" w:lineRule="auto"/>
        <w:rPr>
          <w:rFonts w:hint="eastAsia"/>
          <w:sz w:val="28"/>
          <w:szCs w:val="28"/>
        </w:rPr>
      </w:pPr>
      <w:r>
        <w:rPr>
          <w:rFonts w:hint="eastAsia"/>
          <w:sz w:val="28"/>
          <w:szCs w:val="28"/>
        </w:rPr>
        <w:t>1、本项目为国产品牌，设备安装、系统集成、软件客户化均由乙方负责。提供设备软硬件安装工作，同时结合医院现有设备及应用情况，实施现有及本项目规划、等保安全、系统集成、协助完成医院评审工作包括但不限于三级等保评审、电子病历评审、互联互通评审等各项工作。</w:t>
      </w:r>
    </w:p>
    <w:p w14:paraId="670707D3">
      <w:pPr>
        <w:spacing w:line="360" w:lineRule="auto"/>
        <w:rPr>
          <w:sz w:val="28"/>
          <w:szCs w:val="28"/>
        </w:rPr>
      </w:pPr>
      <w:r>
        <w:rPr>
          <w:rFonts w:hint="eastAsia"/>
          <w:sz w:val="28"/>
          <w:szCs w:val="28"/>
        </w:rPr>
        <w:t>2.本项目涉及的设备安装调试并经验收合格后，应对采购方的相关人员提供关于系统应用时技术和操作方面的培训。相关培训费用应包含在投标总价中。</w:t>
      </w:r>
      <w:bookmarkStart w:id="0" w:name="_GoBack"/>
      <w:bookmarkEnd w:id="0"/>
    </w:p>
    <w:p w14:paraId="13C40D03">
      <w:pPr>
        <w:spacing w:line="360" w:lineRule="auto"/>
        <w:rPr>
          <w:sz w:val="28"/>
          <w:szCs w:val="28"/>
        </w:rPr>
      </w:pPr>
      <w:r>
        <w:rPr>
          <w:rFonts w:hint="eastAsia"/>
          <w:b/>
          <w:bCs/>
          <w:sz w:val="28"/>
          <w:szCs w:val="28"/>
          <w:lang w:val="en-US" w:eastAsia="zh-CN"/>
        </w:rPr>
        <w:t>三</w:t>
      </w:r>
      <w:r>
        <w:rPr>
          <w:rFonts w:hint="eastAsia"/>
          <w:b/>
          <w:bCs/>
          <w:sz w:val="28"/>
          <w:szCs w:val="28"/>
        </w:rPr>
        <w:t>、调研说明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2"/>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2"/>
        </w:numPr>
        <w:spacing w:line="360" w:lineRule="auto"/>
        <w:rPr>
          <w:rFonts w:hint="eastAsia"/>
          <w:sz w:val="28"/>
          <w:szCs w:val="28"/>
        </w:rPr>
      </w:pPr>
      <w:r>
        <w:rPr>
          <w:rFonts w:hint="eastAsia"/>
          <w:sz w:val="28"/>
          <w:szCs w:val="28"/>
          <w:lang w:val="en-US" w:eastAsia="zh-CN"/>
        </w:rPr>
        <w:t>采购调研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276A26FE">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1525F9E"/>
    <w:rsid w:val="02E46EDB"/>
    <w:rsid w:val="048D195A"/>
    <w:rsid w:val="067F1777"/>
    <w:rsid w:val="08346719"/>
    <w:rsid w:val="085D3F36"/>
    <w:rsid w:val="0B112BB9"/>
    <w:rsid w:val="0C5C337B"/>
    <w:rsid w:val="11513D10"/>
    <w:rsid w:val="133B06CF"/>
    <w:rsid w:val="146A52E1"/>
    <w:rsid w:val="15CE31CD"/>
    <w:rsid w:val="1E112B5D"/>
    <w:rsid w:val="1F04572B"/>
    <w:rsid w:val="1F776993"/>
    <w:rsid w:val="20AD0837"/>
    <w:rsid w:val="217C0935"/>
    <w:rsid w:val="24E14A0E"/>
    <w:rsid w:val="29A7676B"/>
    <w:rsid w:val="29C16695"/>
    <w:rsid w:val="2A9A62D0"/>
    <w:rsid w:val="2CA214A8"/>
    <w:rsid w:val="2F947B18"/>
    <w:rsid w:val="30061211"/>
    <w:rsid w:val="35542AA5"/>
    <w:rsid w:val="36A75FFC"/>
    <w:rsid w:val="47900C91"/>
    <w:rsid w:val="483343F3"/>
    <w:rsid w:val="49791BAF"/>
    <w:rsid w:val="4B271062"/>
    <w:rsid w:val="514151E5"/>
    <w:rsid w:val="51FC6DA4"/>
    <w:rsid w:val="523560D6"/>
    <w:rsid w:val="5560352D"/>
    <w:rsid w:val="55AA4D69"/>
    <w:rsid w:val="55F21D17"/>
    <w:rsid w:val="57B114D5"/>
    <w:rsid w:val="5BEF0C8B"/>
    <w:rsid w:val="5E842372"/>
    <w:rsid w:val="609A4358"/>
    <w:rsid w:val="667B53E5"/>
    <w:rsid w:val="6CD354EF"/>
    <w:rsid w:val="6E6E29DA"/>
    <w:rsid w:val="70290C0C"/>
    <w:rsid w:val="7557320A"/>
    <w:rsid w:val="780C1937"/>
    <w:rsid w:val="7855070D"/>
    <w:rsid w:val="78F11383"/>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2">
    <w:name w:val="heading 1"/>
    <w:basedOn w:val="1"/>
    <w:next w:val="1"/>
    <w:link w:val="19"/>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3">
    <w:name w:val="heading 2"/>
    <w:basedOn w:val="1"/>
    <w:next w:val="1"/>
    <w:link w:val="20"/>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2">
    <w:name w:val="header"/>
    <w:basedOn w:val="1"/>
    <w:link w:val="37"/>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3">
    <w:name w:val="Subtitle"/>
    <w:basedOn w:val="1"/>
    <w:next w:val="1"/>
    <w:link w:val="29"/>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4">
    <w:name w:val="Normal (Web)"/>
    <w:basedOn w:val="1"/>
    <w:qFormat/>
    <w:uiPriority w:val="0"/>
    <w:pPr>
      <w:widowControl w:val="0"/>
      <w:spacing w:after="160" w:line="336" w:lineRule="auto"/>
    </w:pPr>
    <w:rPr>
      <w:rFonts w:cs="黑体"/>
    </w:rPr>
  </w:style>
  <w:style w:type="paragraph" w:styleId="15">
    <w:name w:val="Title"/>
    <w:basedOn w:val="1"/>
    <w:next w:val="1"/>
    <w:link w:val="28"/>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table" w:styleId="1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szCs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3">
    <w:name w:val="Intense Emphasis"/>
    <w:basedOn w:val="18"/>
    <w:qFormat/>
    <w:uiPriority w:val="21"/>
    <w:rPr>
      <w:i/>
      <w:iCs/>
      <w:color w:val="2F5597" w:themeColor="accent1" w:themeShade="BF"/>
    </w:rPr>
  </w:style>
  <w:style w:type="paragraph" w:styleId="34">
    <w:name w:val="Intense Quote"/>
    <w:basedOn w:val="1"/>
    <w:next w:val="1"/>
    <w:link w:val="35"/>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Intense Reference"/>
    <w:basedOn w:val="18"/>
    <w:qFormat/>
    <w:uiPriority w:val="32"/>
    <w:rPr>
      <w:b/>
      <w:bCs/>
      <w:smallCaps/>
      <w:color w:val="2F5597" w:themeColor="accent1" w:themeShade="BF"/>
      <w:spacing w:val="5"/>
    </w:rPr>
  </w:style>
  <w:style w:type="character" w:customStyle="1" w:styleId="37">
    <w:name w:val="页眉 字符"/>
    <w:basedOn w:val="18"/>
    <w:link w:val="12"/>
    <w:qFormat/>
    <w:uiPriority w:val="99"/>
    <w:rPr>
      <w:sz w:val="18"/>
      <w:szCs w:val="18"/>
    </w:rPr>
  </w:style>
  <w:style w:type="character" w:customStyle="1" w:styleId="38">
    <w:name w:val="页脚 字符"/>
    <w:basedOn w:val="18"/>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8055</Words>
  <Characters>8934</Characters>
  <Lines>12</Lines>
  <Paragraphs>3</Paragraphs>
  <TotalTime>1</TotalTime>
  <ScaleCrop>false</ScaleCrop>
  <LinksUpToDate>false</LinksUpToDate>
  <CharactersWithSpaces>9175</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晨 江</dc:creator>
  <cp:lastModifiedBy>郑薇</cp:lastModifiedBy>
  <dcterms:modified xsi:type="dcterms:W3CDTF">2026-08-11T08:44:52Z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ies>
</file>